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l5wazuvsgm" w:id="0"/>
      <w:bookmarkEnd w:id="0"/>
      <w:r w:rsidDel="00000000" w:rsidR="00000000" w:rsidRPr="00000000">
        <w:rPr>
          <w:rtl w:val="0"/>
        </w:rPr>
        <w:t xml:space="preserve">Atelier de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Vous allez faire le même exercice de l’atelier à savoir étudier l’utilisation d’une méthode de classification supervisée pour prédire une variable Y où Y vaut 1 si spam et 0 sinon.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Vous devez :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mgykxl02g8x" w:id="1"/>
      <w:bookmarkEnd w:id="1"/>
      <w:r w:rsidDel="00000000" w:rsidR="00000000" w:rsidRPr="00000000">
        <w:rPr>
          <w:rtl w:val="0"/>
        </w:rPr>
        <w:t xml:space="preserve">Utiliser la base de données spam de la libraire kernlab (les données utilisées dans l'atelier)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note en bleu les lignes de commandes permettant d’effectuer l’analyse, en gris les commentaires et en noir l’analyse des résultats retournés.</w:t>
      </w:r>
    </w:p>
    <w:tbl>
      <w:tblPr>
        <w:tblStyle w:val="Table1"/>
        <w:tblW w:w="11625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865"/>
        <w:tblGridChange w:id="0">
          <w:tblGrid>
            <w:gridCol w:w="5760"/>
            <w:gridCol w:w="5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Nous chargeons les données spam de la library kernlab dans l’outil R 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#pour charger la lib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library(kernlab)</w:t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#pour charger les données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data(spam)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#visualiser les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View(spam)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53684" cy="1652588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84" cy="1652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#information sur les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summary(spam)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Cette commande nous permet de voir que la base contient 2788 non spams et 1813 spams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81400" cy="8763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81400" cy="11303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pose une graine qui fera qu'on aura toujours les mêmes lignes si on lance la fonction createDataPartition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#très important pour s'assurer qu'on travaille bien sur les mêmes données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set.seed(100)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fait un tirage au sort de 80% des lignes de nos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indTrain&lt;-createDataPartition(spam$type,p=0.8,list=F)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#nombre de lignes de ma partition / de mon vecteur de données de training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length(indTrain)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1657350" cy="3810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11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#Pour voir les valeurs au format valeurs discrètes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View(indTrain)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823913" cy="2488053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913" cy="2488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assigne la matrice spam qui contient toutes les lignes qui sont dans indTrain et toutes les colonnes de spam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#dim(Dtrain] donne la dimension du tableau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Dtrain&lt;-spam[indTrain,]; dim(Dtrain)</w:t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crée la table des indices de test à partir de toutes les données qui ne sont pas dans Dtrain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Dtest&lt;-spam[-indTrain,]; dim(Dtest)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On vient donc de créer les données d'entraînement (Dtrain) et les données de validation (Dtest).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52788" cy="691043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788" cy="691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51fk0gutswy" w:id="2"/>
      <w:bookmarkEnd w:id="2"/>
      <w:r w:rsidDel="00000000" w:rsidR="00000000" w:rsidRPr="00000000">
        <w:rPr>
          <w:rtl w:val="0"/>
        </w:rPr>
        <w:t xml:space="preserve">Appliquer une autre méthode de classification supervisée pour prédire la variable Y (différente de la méthode utilisée dans l'atelier)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choisit ici d’appliquer le modèle appelé </w:t>
      </w:r>
      <w:r w:rsidDel="00000000" w:rsidR="00000000" w:rsidRPr="00000000">
        <w:rPr>
          <w:b w:val="1"/>
          <w:rtl w:val="0"/>
        </w:rPr>
        <w:t xml:space="preserve">gradient boosting machine</w:t>
      </w:r>
      <w:r w:rsidDel="00000000" w:rsidR="00000000" w:rsidRPr="00000000">
        <w:rPr>
          <w:rtl w:val="0"/>
        </w:rPr>
        <w:t xml:space="preserve"> (gbm), basé sur un algorithme de création d’arbres de décision.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5670"/>
        <w:tblGridChange w:id="0">
          <w:tblGrid>
            <w:gridCol w:w="5925"/>
            <w:gridCol w:w="5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utilise la validation croisée pour découper les données en 10 blocs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paramTrain&lt;-trainControl(method="cv",number=10)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lance la fonction “train” qui permet de prédire la variable "type" avec la méthode "gbm", en fonction de tous les attributs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fit_gbm&lt;-train(type~.,data=Dtrain,method="gbm",trControl=paramTrain, verbose=FALSE)</w:t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#Pour chaque bloc on donne le 1-taux d’erreur, appelé Accuracy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#Kappa c'est si on avait fait l'apprentissage avec des fold aléatoires --&gt; on voit bien ici qu'utiliser la méthode donne de meilleurs taux de accuracy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fit_gbm$resample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1905000" cy="1428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3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#donne le taux moyen d'erreur sur les 10 boîtes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fit_gbm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On observe que le taux d’erreur moyen de tous les échantillons est de 1-0,9454 = 0,06 = 6%.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</w:rPr>
              <w:drawing>
                <wp:inline distB="114300" distT="114300" distL="114300" distR="114300">
                  <wp:extent cx="3557588" cy="2900953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588" cy="2900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n1uzqto6ptn" w:id="3"/>
      <w:bookmarkEnd w:id="3"/>
      <w:r w:rsidDel="00000000" w:rsidR="00000000" w:rsidRPr="00000000">
        <w:rPr>
          <w:rtl w:val="0"/>
        </w:rPr>
        <w:t xml:space="preserve">Donner l'erreur de prédiction estimée par validation croisée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90"/>
        <w:tblGridChange w:id="0">
          <w:tblGrid>
            <w:gridCol w:w="5730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crée la variable qui contiendra la prédiction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pred_gbm&lt;-predict(fit_gbm,newdata=Dtest)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affiche les 6 premières valeurs prédites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head(pred_gbm)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3552825" cy="5715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4827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#On affiche le résultat de la prédiction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table(pred_gbm)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3543300" cy="56197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48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#Compter le nombre de fois où on se trompe quand on utilise les données de test avec mon algo entraîné (matrice de confusion)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table(predite=pred_gbm,observee=Dtest$type)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 observe que que le prédicteur s’est trompé (20+33=) 53 fois sur 919 soit environ 6% d’erreurs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2909476" cy="66198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76" cy="661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#Taux moyen d'échec du prédicteur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mean(pred_gbm!=Dtest$type)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</w:rPr>
              <w:drawing>
                <wp:inline distB="114300" distT="114300" distL="114300" distR="114300">
                  <wp:extent cx="2290763" cy="349886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349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vp028ktqioj" w:id="4"/>
      <w:bookmarkEnd w:id="4"/>
      <w:r w:rsidDel="00000000" w:rsidR="00000000" w:rsidRPr="00000000">
        <w:rPr>
          <w:rtl w:val="0"/>
        </w:rPr>
        <w:t xml:space="preserve">Comparez le résultat obtenu avec celui de la méthode utilisée dans l'atelier.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Dans le premier exercice nous avons utilisé le modèle appelé General Linear Model. Nous avions obtenu un taux d’erreur lors de la phase de training de 7,5% et de 7,9% lors des prédictions.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Dans le modèle étudié ici, nous avons obtenu 5,6% d’erreur lors de la phase d’entraînement puis de 5,8% lors des prédictions.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 peut donc conclure que le modèle GBM est meilleur.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7b1eoffsl5lr" w:id="5"/>
      <w:bookmarkEnd w:id="5"/>
      <w:r w:rsidDel="00000000" w:rsidR="00000000" w:rsidRPr="00000000">
        <w:rPr>
          <w:rtl w:val="0"/>
        </w:rPr>
        <w:t xml:space="preserve">Annexe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94726" cy="28051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726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Voir annexe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 xml:space="preserve">           Devoir ML - Ghyzlène KALFAT &amp; Laura HABERT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