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8D4B98" w:rsidRDefault="008D4B98"/>
    <w:p w:rsidR="007C2321" w:rsidRDefault="007C2321">
      <w:bookmarkStart w:id="0" w:name="_GoBack"/>
      <w:bookmarkEnd w:id="0"/>
    </w:p>
    <w:p w:rsidR="00A22DDB" w:rsidRPr="00B00462" w:rsidRDefault="00A22DDB"/>
    <w:sectPr w:rsidR="00A22DDB" w:rsidRPr="00B0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3"/>
  </w:num>
  <w:num w:numId="2">
    <w:abstractNumId w:val="100"/>
  </w:num>
  <w:num w:numId="3">
    <w:abstractNumId w:val="66"/>
  </w:num>
  <w:num w:numId="4">
    <w:abstractNumId w:val="94"/>
  </w:num>
  <w:num w:numId="5">
    <w:abstractNumId w:val="144"/>
  </w:num>
  <w:num w:numId="6">
    <w:abstractNumId w:val="52"/>
  </w:num>
  <w:num w:numId="7">
    <w:abstractNumId w:val="44"/>
  </w:num>
  <w:num w:numId="8">
    <w:abstractNumId w:val="130"/>
  </w:num>
  <w:num w:numId="9">
    <w:abstractNumId w:val="9"/>
  </w:num>
  <w:num w:numId="10">
    <w:abstractNumId w:val="123"/>
  </w:num>
  <w:num w:numId="11">
    <w:abstractNumId w:val="135"/>
  </w:num>
  <w:num w:numId="12">
    <w:abstractNumId w:val="25"/>
  </w:num>
  <w:num w:numId="13">
    <w:abstractNumId w:val="89"/>
  </w:num>
  <w:num w:numId="14">
    <w:abstractNumId w:val="54"/>
  </w:num>
  <w:num w:numId="15">
    <w:abstractNumId w:val="71"/>
  </w:num>
  <w:num w:numId="16">
    <w:abstractNumId w:val="49"/>
  </w:num>
  <w:num w:numId="17">
    <w:abstractNumId w:val="58"/>
  </w:num>
  <w:num w:numId="18">
    <w:abstractNumId w:val="101"/>
  </w:num>
  <w:num w:numId="19">
    <w:abstractNumId w:val="88"/>
  </w:num>
  <w:num w:numId="20">
    <w:abstractNumId w:val="30"/>
  </w:num>
  <w:num w:numId="21">
    <w:abstractNumId w:val="23"/>
  </w:num>
  <w:num w:numId="22">
    <w:abstractNumId w:val="29"/>
  </w:num>
  <w:num w:numId="23">
    <w:abstractNumId w:val="20"/>
  </w:num>
  <w:num w:numId="24">
    <w:abstractNumId w:val="137"/>
  </w:num>
  <w:num w:numId="25">
    <w:abstractNumId w:val="56"/>
  </w:num>
  <w:num w:numId="26">
    <w:abstractNumId w:val="37"/>
  </w:num>
  <w:num w:numId="27">
    <w:abstractNumId w:val="115"/>
  </w:num>
  <w:num w:numId="28">
    <w:abstractNumId w:val="86"/>
  </w:num>
  <w:num w:numId="29">
    <w:abstractNumId w:val="131"/>
  </w:num>
  <w:num w:numId="30">
    <w:abstractNumId w:val="72"/>
  </w:num>
  <w:num w:numId="31">
    <w:abstractNumId w:val="120"/>
  </w:num>
  <w:num w:numId="32">
    <w:abstractNumId w:val="14"/>
  </w:num>
  <w:num w:numId="33">
    <w:abstractNumId w:val="78"/>
  </w:num>
  <w:num w:numId="34">
    <w:abstractNumId w:val="83"/>
  </w:num>
  <w:num w:numId="35">
    <w:abstractNumId w:val="63"/>
  </w:num>
  <w:num w:numId="36">
    <w:abstractNumId w:val="61"/>
  </w:num>
  <w:num w:numId="37">
    <w:abstractNumId w:val="80"/>
  </w:num>
  <w:num w:numId="38">
    <w:abstractNumId w:val="127"/>
  </w:num>
  <w:num w:numId="39">
    <w:abstractNumId w:val="112"/>
  </w:num>
  <w:num w:numId="40">
    <w:abstractNumId w:val="85"/>
  </w:num>
  <w:num w:numId="41">
    <w:abstractNumId w:val="139"/>
  </w:num>
  <w:num w:numId="42">
    <w:abstractNumId w:val="104"/>
  </w:num>
  <w:num w:numId="43">
    <w:abstractNumId w:val="148"/>
  </w:num>
  <w:num w:numId="44">
    <w:abstractNumId w:val="136"/>
  </w:num>
  <w:num w:numId="45">
    <w:abstractNumId w:val="132"/>
  </w:num>
  <w:num w:numId="46">
    <w:abstractNumId w:val="8"/>
  </w:num>
  <w:num w:numId="47">
    <w:abstractNumId w:val="47"/>
  </w:num>
  <w:num w:numId="48">
    <w:abstractNumId w:val="92"/>
  </w:num>
  <w:num w:numId="49">
    <w:abstractNumId w:val="15"/>
  </w:num>
  <w:num w:numId="50">
    <w:abstractNumId w:val="55"/>
  </w:num>
  <w:num w:numId="51">
    <w:abstractNumId w:val="97"/>
  </w:num>
  <w:num w:numId="52">
    <w:abstractNumId w:val="119"/>
  </w:num>
  <w:num w:numId="53">
    <w:abstractNumId w:val="0"/>
  </w:num>
  <w:num w:numId="54">
    <w:abstractNumId w:val="156"/>
  </w:num>
  <w:num w:numId="55">
    <w:abstractNumId w:val="3"/>
  </w:num>
  <w:num w:numId="56">
    <w:abstractNumId w:val="140"/>
  </w:num>
  <w:num w:numId="57">
    <w:abstractNumId w:val="95"/>
  </w:num>
  <w:num w:numId="58">
    <w:abstractNumId w:val="111"/>
  </w:num>
  <w:num w:numId="59">
    <w:abstractNumId w:val="4"/>
  </w:num>
  <w:num w:numId="60">
    <w:abstractNumId w:val="59"/>
  </w:num>
  <w:num w:numId="61">
    <w:abstractNumId w:val="65"/>
  </w:num>
  <w:num w:numId="62">
    <w:abstractNumId w:val="28"/>
  </w:num>
  <w:num w:numId="63">
    <w:abstractNumId w:val="117"/>
  </w:num>
  <w:num w:numId="64">
    <w:abstractNumId w:val="121"/>
  </w:num>
  <w:num w:numId="65">
    <w:abstractNumId w:val="96"/>
  </w:num>
  <w:num w:numId="66">
    <w:abstractNumId w:val="13"/>
  </w:num>
  <w:num w:numId="67">
    <w:abstractNumId w:val="36"/>
  </w:num>
  <w:num w:numId="68">
    <w:abstractNumId w:val="41"/>
  </w:num>
  <w:num w:numId="69">
    <w:abstractNumId w:val="6"/>
  </w:num>
  <w:num w:numId="70">
    <w:abstractNumId w:val="125"/>
  </w:num>
  <w:num w:numId="71">
    <w:abstractNumId w:val="91"/>
  </w:num>
  <w:num w:numId="72">
    <w:abstractNumId w:val="31"/>
  </w:num>
  <w:num w:numId="73">
    <w:abstractNumId w:val="109"/>
  </w:num>
  <w:num w:numId="74">
    <w:abstractNumId w:val="74"/>
  </w:num>
  <w:num w:numId="75">
    <w:abstractNumId w:val="69"/>
  </w:num>
  <w:num w:numId="76">
    <w:abstractNumId w:val="134"/>
  </w:num>
  <w:num w:numId="77">
    <w:abstractNumId w:val="7"/>
  </w:num>
  <w:num w:numId="78">
    <w:abstractNumId w:val="50"/>
  </w:num>
  <w:num w:numId="79">
    <w:abstractNumId w:val="45"/>
  </w:num>
  <w:num w:numId="80">
    <w:abstractNumId w:val="32"/>
  </w:num>
  <w:num w:numId="81">
    <w:abstractNumId w:val="147"/>
  </w:num>
  <w:num w:numId="82">
    <w:abstractNumId w:val="141"/>
  </w:num>
  <w:num w:numId="83">
    <w:abstractNumId w:val="154"/>
  </w:num>
  <w:num w:numId="84">
    <w:abstractNumId w:val="64"/>
  </w:num>
  <w:num w:numId="85">
    <w:abstractNumId w:val="146"/>
  </w:num>
  <w:num w:numId="86">
    <w:abstractNumId w:val="26"/>
  </w:num>
  <w:num w:numId="87">
    <w:abstractNumId w:val="114"/>
  </w:num>
  <w:num w:numId="88">
    <w:abstractNumId w:val="106"/>
  </w:num>
  <w:num w:numId="89">
    <w:abstractNumId w:val="152"/>
  </w:num>
  <w:num w:numId="90">
    <w:abstractNumId w:val="151"/>
  </w:num>
  <w:num w:numId="91">
    <w:abstractNumId w:val="124"/>
  </w:num>
  <w:num w:numId="92">
    <w:abstractNumId w:val="99"/>
  </w:num>
  <w:num w:numId="93">
    <w:abstractNumId w:val="19"/>
  </w:num>
  <w:num w:numId="94">
    <w:abstractNumId w:val="11"/>
  </w:num>
  <w:num w:numId="95">
    <w:abstractNumId w:val="145"/>
  </w:num>
  <w:num w:numId="96">
    <w:abstractNumId w:val="53"/>
  </w:num>
  <w:num w:numId="97">
    <w:abstractNumId w:val="75"/>
  </w:num>
  <w:num w:numId="98">
    <w:abstractNumId w:val="73"/>
  </w:num>
  <w:num w:numId="99">
    <w:abstractNumId w:val="81"/>
  </w:num>
  <w:num w:numId="100">
    <w:abstractNumId w:val="79"/>
  </w:num>
  <w:num w:numId="101">
    <w:abstractNumId w:val="155"/>
  </w:num>
  <w:num w:numId="102">
    <w:abstractNumId w:val="51"/>
  </w:num>
  <w:num w:numId="103">
    <w:abstractNumId w:val="57"/>
  </w:num>
  <w:num w:numId="104">
    <w:abstractNumId w:val="17"/>
  </w:num>
  <w:num w:numId="105">
    <w:abstractNumId w:val="133"/>
  </w:num>
  <w:num w:numId="106">
    <w:abstractNumId w:val="98"/>
  </w:num>
  <w:num w:numId="107">
    <w:abstractNumId w:val="113"/>
  </w:num>
  <w:num w:numId="108">
    <w:abstractNumId w:val="43"/>
  </w:num>
  <w:num w:numId="109">
    <w:abstractNumId w:val="157"/>
  </w:num>
  <w:num w:numId="110">
    <w:abstractNumId w:val="10"/>
  </w:num>
  <w:num w:numId="111">
    <w:abstractNumId w:val="12"/>
  </w:num>
  <w:num w:numId="112">
    <w:abstractNumId w:val="149"/>
  </w:num>
  <w:num w:numId="113">
    <w:abstractNumId w:val="87"/>
  </w:num>
  <w:num w:numId="114">
    <w:abstractNumId w:val="84"/>
  </w:num>
  <w:num w:numId="115">
    <w:abstractNumId w:val="33"/>
  </w:num>
  <w:num w:numId="116">
    <w:abstractNumId w:val="93"/>
  </w:num>
  <w:num w:numId="117">
    <w:abstractNumId w:val="129"/>
  </w:num>
  <w:num w:numId="118">
    <w:abstractNumId w:val="128"/>
  </w:num>
  <w:num w:numId="119">
    <w:abstractNumId w:val="46"/>
  </w:num>
  <w:num w:numId="120">
    <w:abstractNumId w:val="116"/>
  </w:num>
  <w:num w:numId="121">
    <w:abstractNumId w:val="107"/>
  </w:num>
  <w:num w:numId="122">
    <w:abstractNumId w:val="118"/>
  </w:num>
  <w:num w:numId="123">
    <w:abstractNumId w:val="18"/>
  </w:num>
  <w:num w:numId="124">
    <w:abstractNumId w:val="40"/>
  </w:num>
  <w:num w:numId="125">
    <w:abstractNumId w:val="150"/>
  </w:num>
  <w:num w:numId="126">
    <w:abstractNumId w:val="35"/>
  </w:num>
  <w:num w:numId="127">
    <w:abstractNumId w:val="76"/>
  </w:num>
  <w:num w:numId="128">
    <w:abstractNumId w:val="16"/>
  </w:num>
  <w:num w:numId="129">
    <w:abstractNumId w:val="48"/>
  </w:num>
  <w:num w:numId="130">
    <w:abstractNumId w:val="62"/>
  </w:num>
  <w:num w:numId="131">
    <w:abstractNumId w:val="82"/>
  </w:num>
  <w:num w:numId="132">
    <w:abstractNumId w:val="39"/>
  </w:num>
  <w:num w:numId="133">
    <w:abstractNumId w:val="68"/>
  </w:num>
  <w:num w:numId="134">
    <w:abstractNumId w:val="143"/>
  </w:num>
  <w:num w:numId="135">
    <w:abstractNumId w:val="60"/>
  </w:num>
  <w:num w:numId="136">
    <w:abstractNumId w:val="110"/>
  </w:num>
  <w:num w:numId="137">
    <w:abstractNumId w:val="22"/>
  </w:num>
  <w:num w:numId="138">
    <w:abstractNumId w:val="34"/>
  </w:num>
  <w:num w:numId="139">
    <w:abstractNumId w:val="1"/>
  </w:num>
  <w:num w:numId="140">
    <w:abstractNumId w:val="122"/>
  </w:num>
  <w:num w:numId="141">
    <w:abstractNumId w:val="108"/>
  </w:num>
  <w:num w:numId="142">
    <w:abstractNumId w:val="105"/>
  </w:num>
  <w:num w:numId="143">
    <w:abstractNumId w:val="24"/>
  </w:num>
  <w:num w:numId="144">
    <w:abstractNumId w:val="102"/>
  </w:num>
  <w:num w:numId="145">
    <w:abstractNumId w:val="38"/>
  </w:num>
  <w:num w:numId="146">
    <w:abstractNumId w:val="142"/>
  </w:num>
  <w:num w:numId="147">
    <w:abstractNumId w:val="126"/>
  </w:num>
  <w:num w:numId="148">
    <w:abstractNumId w:val="90"/>
  </w:num>
  <w:num w:numId="149">
    <w:abstractNumId w:val="138"/>
  </w:num>
  <w:num w:numId="150">
    <w:abstractNumId w:val="77"/>
  </w:num>
  <w:num w:numId="151">
    <w:abstractNumId w:val="5"/>
  </w:num>
  <w:num w:numId="152">
    <w:abstractNumId w:val="42"/>
  </w:num>
  <w:num w:numId="153">
    <w:abstractNumId w:val="67"/>
  </w:num>
  <w:num w:numId="154">
    <w:abstractNumId w:val="153"/>
  </w:num>
  <w:num w:numId="155">
    <w:abstractNumId w:val="27"/>
  </w:num>
  <w:num w:numId="156">
    <w:abstractNumId w:val="2"/>
  </w:num>
  <w:num w:numId="157">
    <w:abstractNumId w:val="70"/>
  </w:num>
  <w:num w:numId="158">
    <w:abstractNumId w:val="21"/>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30486"/>
    <w:rsid w:val="0004478B"/>
    <w:rsid w:val="00052D28"/>
    <w:rsid w:val="00067E63"/>
    <w:rsid w:val="00072A8B"/>
    <w:rsid w:val="00074063"/>
    <w:rsid w:val="000753AD"/>
    <w:rsid w:val="00080DDE"/>
    <w:rsid w:val="000B21AC"/>
    <w:rsid w:val="000B3220"/>
    <w:rsid w:val="000E2DD2"/>
    <w:rsid w:val="000E355D"/>
    <w:rsid w:val="001375F7"/>
    <w:rsid w:val="0016462F"/>
    <w:rsid w:val="00187220"/>
    <w:rsid w:val="001A59BE"/>
    <w:rsid w:val="001C6A3B"/>
    <w:rsid w:val="001D0F40"/>
    <w:rsid w:val="00232DE6"/>
    <w:rsid w:val="0023376D"/>
    <w:rsid w:val="00261AF8"/>
    <w:rsid w:val="00267FDF"/>
    <w:rsid w:val="00267FE4"/>
    <w:rsid w:val="00282DA7"/>
    <w:rsid w:val="00291EF0"/>
    <w:rsid w:val="002A0F9A"/>
    <w:rsid w:val="002A486C"/>
    <w:rsid w:val="002D67B3"/>
    <w:rsid w:val="002D71FA"/>
    <w:rsid w:val="00314591"/>
    <w:rsid w:val="00332626"/>
    <w:rsid w:val="00371358"/>
    <w:rsid w:val="00374CBA"/>
    <w:rsid w:val="003A0BA1"/>
    <w:rsid w:val="003A1A2E"/>
    <w:rsid w:val="003D753C"/>
    <w:rsid w:val="004268D9"/>
    <w:rsid w:val="00435A00"/>
    <w:rsid w:val="00436469"/>
    <w:rsid w:val="004475DB"/>
    <w:rsid w:val="004500DF"/>
    <w:rsid w:val="00472E9F"/>
    <w:rsid w:val="004B4F9A"/>
    <w:rsid w:val="004B77D9"/>
    <w:rsid w:val="004C01E9"/>
    <w:rsid w:val="004C3A2E"/>
    <w:rsid w:val="004C3AF3"/>
    <w:rsid w:val="004E123B"/>
    <w:rsid w:val="004F0515"/>
    <w:rsid w:val="005139E7"/>
    <w:rsid w:val="00542660"/>
    <w:rsid w:val="00545C14"/>
    <w:rsid w:val="00566B91"/>
    <w:rsid w:val="00572B9E"/>
    <w:rsid w:val="0059381A"/>
    <w:rsid w:val="00595A2B"/>
    <w:rsid w:val="005A4060"/>
    <w:rsid w:val="005B29AC"/>
    <w:rsid w:val="005D589F"/>
    <w:rsid w:val="005E5E04"/>
    <w:rsid w:val="00615A3F"/>
    <w:rsid w:val="006545D5"/>
    <w:rsid w:val="006E5F85"/>
    <w:rsid w:val="007500CA"/>
    <w:rsid w:val="0079477D"/>
    <w:rsid w:val="007A273C"/>
    <w:rsid w:val="007A3109"/>
    <w:rsid w:val="007A32B0"/>
    <w:rsid w:val="007A5A9F"/>
    <w:rsid w:val="007B2584"/>
    <w:rsid w:val="007C2321"/>
    <w:rsid w:val="007C7CC8"/>
    <w:rsid w:val="007E0EFF"/>
    <w:rsid w:val="00816CF6"/>
    <w:rsid w:val="00830D27"/>
    <w:rsid w:val="00877DA3"/>
    <w:rsid w:val="00893C79"/>
    <w:rsid w:val="008A2F43"/>
    <w:rsid w:val="008D4B98"/>
    <w:rsid w:val="008E4711"/>
    <w:rsid w:val="00903577"/>
    <w:rsid w:val="009048E8"/>
    <w:rsid w:val="00911027"/>
    <w:rsid w:val="0091605F"/>
    <w:rsid w:val="009522FB"/>
    <w:rsid w:val="00954882"/>
    <w:rsid w:val="0097578F"/>
    <w:rsid w:val="009A0ACD"/>
    <w:rsid w:val="009D569E"/>
    <w:rsid w:val="009F2B75"/>
    <w:rsid w:val="00A22DDB"/>
    <w:rsid w:val="00A26ABD"/>
    <w:rsid w:val="00A44073"/>
    <w:rsid w:val="00A47B85"/>
    <w:rsid w:val="00A87702"/>
    <w:rsid w:val="00AA06C8"/>
    <w:rsid w:val="00AA7337"/>
    <w:rsid w:val="00AB0BD3"/>
    <w:rsid w:val="00AC6089"/>
    <w:rsid w:val="00AC7C0B"/>
    <w:rsid w:val="00AE285D"/>
    <w:rsid w:val="00AF4F89"/>
    <w:rsid w:val="00B00462"/>
    <w:rsid w:val="00B456D4"/>
    <w:rsid w:val="00B90203"/>
    <w:rsid w:val="00B95ECA"/>
    <w:rsid w:val="00BC7749"/>
    <w:rsid w:val="00BE5F86"/>
    <w:rsid w:val="00BF15FE"/>
    <w:rsid w:val="00C06B73"/>
    <w:rsid w:val="00C63FBD"/>
    <w:rsid w:val="00C64710"/>
    <w:rsid w:val="00C815AB"/>
    <w:rsid w:val="00C95B4A"/>
    <w:rsid w:val="00C96D2B"/>
    <w:rsid w:val="00CB1EAC"/>
    <w:rsid w:val="00CC4A01"/>
    <w:rsid w:val="00CC5BC7"/>
    <w:rsid w:val="00CD030B"/>
    <w:rsid w:val="00CE370F"/>
    <w:rsid w:val="00CE4280"/>
    <w:rsid w:val="00CE5458"/>
    <w:rsid w:val="00CE6219"/>
    <w:rsid w:val="00D03CD7"/>
    <w:rsid w:val="00D05A1A"/>
    <w:rsid w:val="00D1517C"/>
    <w:rsid w:val="00D17A02"/>
    <w:rsid w:val="00D3491B"/>
    <w:rsid w:val="00D63E0C"/>
    <w:rsid w:val="00D74B44"/>
    <w:rsid w:val="00D804E6"/>
    <w:rsid w:val="00D849AB"/>
    <w:rsid w:val="00DD4483"/>
    <w:rsid w:val="00DD71A3"/>
    <w:rsid w:val="00DD75BD"/>
    <w:rsid w:val="00DF3039"/>
    <w:rsid w:val="00E312FF"/>
    <w:rsid w:val="00E37DB2"/>
    <w:rsid w:val="00EA696E"/>
    <w:rsid w:val="00EC514D"/>
    <w:rsid w:val="00ED2526"/>
    <w:rsid w:val="00EF3AE9"/>
    <w:rsid w:val="00EF4E7A"/>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B8C4"/>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64</Pages>
  <Words>11667</Words>
  <Characters>66504</Characters>
  <Application>Microsoft Office Word</Application>
  <DocSecurity>0</DocSecurity>
  <Lines>554</Lines>
  <Paragraphs>156</Paragraphs>
  <ScaleCrop>false</ScaleCrop>
  <Company/>
  <LinksUpToDate>false</LinksUpToDate>
  <CharactersWithSpaces>78015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161</cp:revision>
  <dcterms:created xsi:type="dcterms:W3CDTF">2021-11-01T15:28:00Z</dcterms:created>
  <dcterms:modified xsi:type="dcterms:W3CDTF">2021-11-24T19:04:00Z</dcterms:modified>
</cp:coreProperties>
</file>