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document"/>
      </w:pPr>
      <w:r>
        <w:t>From Forecasts to Decisions: Benchmarking Probabilistic Demand Forecasts for Retail Replenishment and Liquidation Across Settings and Periods</w:t>
      </w:r>
    </w:p>
    <w:p>
      <w:pPr>
        <w:pStyle w:val="Authors"/>
      </w:pPr>
      <w:r>
        <w:t>[AUTHOR NAMES TO BE ADDED]</w:t>
      </w:r>
    </w:p>
    <w:p>
      <w:pPr>
        <w:pStyle w:val="Affiliation"/>
      </w:pPr>
      <w:r>
        <w:t>[Affiliation, city, country, e-mail — to be added]</w:t>
      </w:r>
    </w:p>
    <w:p>
      <w:pPr>
        <w:pStyle w:val="Abstract"/>
      </w:pPr>
      <w:r>
        <w:t>Public retail forecasting benchmarks rank methods by forecast error, although forecasts are used to decide how much to stock. We benchmark seven probabilistic forecasting methods, three statistical and four based on gradient boosting, inside one transparent order-up-to policy with optional liquidation. The benchmark uses two public datasets from different retail settings, M5 (brick-and-mortar) and VN1 (multi-vendor e-commerce), keeps every series and repeats all experiments on three 26-week test windows. Because the datasets contain no costs, methods are compared at equal fill rate along inventory–fill-rate trade-off curves, with bootstrap confidence intervals. On M5, LightGBM quantile regression is the most accurate method and needs 3–11% less inventory than point forecasts with safety stock, conformal quantiles, TSB and exponential smoothing in every window. On VN1 the most inventory-efficient method changes between windows. We trace this to demand dynamics: a negative-binomial TSB model needs 13–16% less inventory on series with stable demand in every window, whereas only the quantile model serves series whose demand grows sharply. Neither the ADI–CV² classes nor an unsupervised segmentation separates these series in advance, so group-wise method selection does not help. Averaging the quantiles of LightGBM and TSB-NB, however, hedges between the two: it needs 6–11% less inventory than LightGBM on VN1 at a fill rate of 0.92 in every window, stays within 1.5% of it on M5, and has the smallest worst-case regret (0.9% against 9.4%). A quantile-based liquidation rule costs almost no service, but no rule shows an economic benefit within 26 weeks.</w:t>
      </w:r>
    </w:p>
    <w:p>
      <w:pPr>
        <w:pStyle w:val="CCSDescription"/>
      </w:pPr>
      <w:r>
        <w:rPr>
          <w:b/>
        </w:rPr>
        <w:t xml:space="preserve">CCS CONCEPTS </w:t>
      </w:r>
      <w:r>
        <w:t>• Applied computing → Forecasting; Supply chain management • Computing methodologies → Machine learning; Cluster analysis</w:t>
      </w:r>
    </w:p>
    <w:p>
      <w:pPr>
        <w:pStyle w:val="KeyWords"/>
      </w:pPr>
      <w:r>
        <w:rPr>
          <w:b/>
        </w:rPr>
        <w:t xml:space="preserve">Additional Keywords and Phrases: </w:t>
      </w:r>
      <w:r>
        <w:t>probabilistic forecasting; inventory management; intermittent demand; quantile regression; demand segmentation; liquidation; M5; VN1</w:t>
      </w:r>
    </w:p>
    <w:p>
      <w:pPr>
        <w:pStyle w:val="ACMRefHead"/>
      </w:pPr>
      <w:r>
        <w:t>ACM Reference Format:</w:t>
      </w:r>
    </w:p>
    <w:p>
      <w:pPr>
        <w:pStyle w:val="ACMRef"/>
      </w:pPr>
      <w:r>
        <w:t>[Author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 10 pages.</w:t>
      </w:r>
    </w:p>
    <w:p>
      <w:pPr>
        <w:pStyle w:val="Head1"/>
      </w:pPr>
      <w:r>
        <w:t>Introduction</w:t>
      </w:r>
    </w:p>
    <w:p>
      <w:pPr>
        <w:pStyle w:val="PostHeadPara"/>
      </w:pPr>
      <w:r>
        <w:t>Retailers face two opposite risks. With too little stock they lose sales; with too much they tie up capital and eventually have to clear products at a loss. Setting stock levels requires the uncertainty of demand, not only its expected value, so quantile forecasts are the natural input to inventory decisions [3].</w:t>
      </w:r>
    </w:p>
    <w:p>
      <w:pPr>
        <w:pStyle w:val="Para"/>
      </w:pPr>
      <w:r>
        <w:t>Public benchmarks have driven progress in probabilistic demand forecasting, but they score forecasts, not decisions [24]. The M5 competition used the weighted RMSSE and the weighted scaled pinball loss [1], and its organisers state that it did not target a specific decision problem [3]. Studies on the more recent VN1 e-commerce data also compare accuracy and computational cost [4]. Yet higher accuracy does not necessarily give better inventory decisions [5, 6, 23]. On M5, Theodorou et al. [7] report that the most accurate method may not be the best choice when lost-sales costs dominate, especially for intermittent products and short review periods and lead times, and call for replications on online retail data.</w:t>
      </w:r>
    </w:p>
    <w:p>
      <w:pPr>
        <w:pStyle w:val="Para"/>
      </w:pPr>
      <w:r>
        <w:t>Three gaps remain. First, studies that link forecasts to inventory on M5 often keep only selected series, such as 8,000 high-volume series [8], a subset of volatile food items [9] or series with at least 2.5 years of history [7], although most retail series are intermittent. Second, they rely on one dataset and one test period [5, 7, 8, 9, 23], so it is unknown whether their conclusions transfer to another retail setting or another period. Third, public datasets contain neither costs nor inventory positions, so cost-based evaluations depend on assumed parameters, and cost-based and cost-free conclusions can disagree [7].</w:t>
      </w:r>
    </w:p>
    <w:p>
      <w:pPr>
        <w:pStyle w:val="Para"/>
      </w:pPr>
      <w:r>
        <w:t>This paper addresses these gaps with a forecast-to-decision benchmark. It does not propose a new forecasting model. Our contributions are:</w:t>
      </w:r>
    </w:p>
    <w:p>
      <w:pPr>
        <w:pStyle w:val="Para"/>
      </w:pPr>
      <w:r>
        <w:t>(1) A reproducible benchmark of seven probabilistic forecasting methods inside one transparent replenishment-and-liquidation policy, on two public retail datasets from different settings, with all series retained. It runs on a laptop CPU.</w:t>
      </w:r>
    </w:p>
    <w:p>
      <w:pPr>
        <w:pStyle w:val="Para"/>
      </w:pPr>
      <w:r>
        <w:t>(2) A cost-free evaluation protocol: methods are compared at equal realised fill rate along their trade-off curves, with bootstrap confidence intervals, and liquidation is summarised by a break-even salvage ratio.</w:t>
      </w:r>
    </w:p>
    <w:p>
      <w:pPr>
        <w:pStyle w:val="Para"/>
      </w:pPr>
      <w:r>
        <w:t>(3) Evidence on robustness. Everything is repeated on three test windows, which separates findings that hold in every window from period-dependent ones.</w:t>
      </w:r>
    </w:p>
    <w:p>
      <w:pPr>
        <w:pStyle w:val="Para"/>
      </w:pPr>
      <w:r>
        <w:t>(4) An explanation of the period dependence on e-commerce data. We show that it is associated with how much demand grows in the test period, that neither the standard demand classes nor an unsupervised segmentation anticipates this, and that group-wise method selection therefore does not help.</w:t>
      </w:r>
    </w:p>
    <w:p>
      <w:pPr>
        <w:pStyle w:val="Para"/>
      </w:pPr>
      <w:r>
        <w:t>(5) A simple hedge: the average of the quantiles of the global quantile model and TSB-NB is the most robust choice across datasets and windows.</w:t>
      </w:r>
    </w:p>
    <w:p>
      <w:pPr>
        <w:pStyle w:val="Head1"/>
      </w:pPr>
      <w:r>
        <w:t>Related Work</w:t>
      </w:r>
    </w:p>
    <w:p>
      <w:pPr>
        <w:pStyle w:val="PostHeadPara"/>
      </w:pPr>
      <w:r>
        <w:rPr>
          <w:b/>
        </w:rPr>
        <w:t>Retail forecasting benchmarks.</w:t>
      </w:r>
      <w:r>
        <w:t xml:space="preserve"> In the M5 accuracy track, LightGBM was used by all of the top 50 teams, and the winner combined LightGBM models trained with a Tweedie loss [2]. The winner of the uncertainty track trained a separate LightGBM model for each quantile [3]. These results motivate our main model and our point-forecast baseline. Zanotti [4] used M5 and VN1 to study the cost of ensembling global models; that study evaluates accuracy and computational cost, not inventory outcomes.</w:t>
      </w:r>
    </w:p>
    <w:p>
      <w:pPr>
        <w:pStyle w:val="Para"/>
      </w:pPr>
      <w:r>
        <w:rPr>
          <w:b/>
        </w:rPr>
        <w:t>Intermittent demand.</w:t>
      </w:r>
      <w:r>
        <w:t xml:space="preserve"> The TSB method updates a demand probability every period, which lets it react to obsolescence [10]. Demand is commonly classified by the average inter-demand interval (ADI) and the squared coefficient of variation of demand sizes (CV²) [11]; the thresholds 4/3 and 0.5 are used to describe M5 [1]. Damato et al. [12] compared local and global probabilistic models on intermittent data and concluded that no global architecture is established for such series.</w:t>
      </w:r>
    </w:p>
    <w:p>
      <w:pPr>
        <w:pStyle w:val="Para"/>
      </w:pPr>
      <w:r>
        <w:rPr>
          <w:b/>
        </w:rPr>
        <w:t>From forecasts to inventory decisions.</w:t>
      </w:r>
      <w:r>
        <w:t xml:space="preserve"> A structured review observes that most forecasting studies ignore the step from forecast to replenishment decision [6]. Kourentzes et al. [13] tune exponential smoothing with an inventory-based cost function and question whether forecast accuracy is a reasonable proxy for the decisions it supports. van der Haar et al. [14] learn order quantities end to end. Petropoulos et al. [24] simulate an order-up-to policy over rolling origins on M3 series and find that forecast combinations perform best. On M5, Spiliotis et al. [23] simulate one 28-day period with daily review and find that simple empirical quantile methods give better inventory performance than machine-learning methods; Wang et al. [5] evaluate probabilistic forecast combinations with a newsvendor rule in a single-period setting, which they list as a limitation; Zabraoui et al. [9] simulate inventory with reinforcement-learning policies on selected items; Mohammed et al. [8] evaluate safety stock with one illustrative cost calculation on high-volume series. The closest study is Theodorou et al. [7]. They simulate one year of an order-up-to policy with lost sales on 7,783 daily product–state series of M5, for 13 methods whose quantiles are point forecasts plus empirical quantiles of past errors, under 24 combinations of service level, review period and lead time. Trade-off curves broadly follow accuracy, but total costs that weight lost sales more than holding favour less accurate methods.</w:t>
      </w:r>
    </w:p>
    <w:p>
      <w:pPr>
        <w:pStyle w:val="Para"/>
      </w:pPr>
      <w:r>
        <w:t>Our study differs from these works in combining two retail settings, all demand classes, a liquidation decision and three test windows. Compared with [7], we also use direct quantile models, and compare methods at equal realised fill rate rather than at equal target service level, at which [7] observe different realised service levels. Multi-period simulation [7, 9, 14] and decision-level evaluation [5, 7] are not new in themselves.</w:t>
      </w:r>
    </w:p>
    <w:p>
      <w:pPr>
        <w:pStyle w:val="Head1"/>
      </w:pPr>
      <w:r>
        <w:t>Method</w:t>
      </w:r>
    </w:p>
    <w:p>
      <w:pPr>
        <w:pStyle w:val="Head2"/>
      </w:pPr>
      <w:r>
        <w:t>Data</w:t>
      </w:r>
    </w:p>
    <w:p>
      <w:pPr>
        <w:pStyle w:val="PostHeadPara"/>
      </w:pPr>
      <w:r>
        <w:t>M5 [1] contains daily unit sales of 3,049 products in 10 Walmart stores (30,490 product–store series). We aggregate them to 277 complete weeks. VN1 [21] is a weekly e-commerce dataset with 15,053 client–warehouse–product series over 196 weeks; despite its name it is not Vietnamese data. A series is evaluated if it starts at least 13 weeks before the test period and has at least one sale before it.</w:t>
      </w:r>
    </w:p>
    <w:p>
      <w:pPr>
        <w:pStyle w:val="TableCaption"/>
      </w:pPr>
      <w:r>
        <w:t>Table 1: Datasets. Class shares and zero weeks refer to the history before the main test window.</w:t>
      </w:r>
    </w:p>
    <w:tbl>
      <w:tblPr>
        <w:tblStyle w:val="affff1"/>
        <w:tblW w:type="auto" w:w="0"/>
        <w:jc w:val="center"/>
        <w:tblLayout w:type="fixed"/>
        <w:tblLook w:firstColumn="1" w:firstRow="1" w:lastColumn="0" w:lastRow="0" w:noHBand="0" w:noVBand="1" w:val="04A0"/>
        <w:tblCellMar>
          <w:left w:w="40" w:type="dxa"/>
          <w:right w:w="40" w:type="dxa"/>
        </w:tblCellMar>
      </w:tblPr>
      <w:tblGrid>
        <w:gridCol w:w="2920"/>
        <w:gridCol w:w="2920"/>
        <w:gridCol w:w="2920"/>
      </w:tblGrid>
      <w:tr>
        <w:tc>
          <w:tcPr>
            <w:tcW w:type="dxa" w:w="2494"/>
          </w:tcPr>
          <w:p>
            <w:pPr>
              <w:pStyle w:val="TableCell"/>
              <w:spacing w:before="0" w:after="0" w:line="240" w:lineRule="auto"/>
              <w:ind w:firstLine="0" w:left="0" w:right="0"/>
              <w:jc w:val="left"/>
            </w:pPr>
          </w:p>
        </w:tc>
        <w:tc>
          <w:tcPr>
            <w:tcW w:type="dxa" w:w="3118"/>
          </w:tcPr>
          <w:p>
            <w:pPr>
              <w:pStyle w:val="TableCell"/>
              <w:spacing w:before="0" w:after="0" w:line="240" w:lineRule="auto"/>
              <w:ind w:firstLine="0" w:left="0" w:right="0"/>
              <w:jc w:val="center"/>
            </w:pPr>
            <w:r>
              <w:rPr>
                <w:b/>
                <w:sz w:val="14"/>
              </w:rPr>
              <w:t>M5</w:t>
            </w:r>
          </w:p>
        </w:tc>
        <w:tc>
          <w:tcPr>
            <w:tcW w:type="dxa" w:w="3118"/>
          </w:tcPr>
          <w:p>
            <w:pPr>
              <w:pStyle w:val="TableCell"/>
              <w:spacing w:before="0" w:after="0" w:line="240" w:lineRule="auto"/>
              <w:ind w:firstLine="0" w:left="0" w:right="0"/>
              <w:jc w:val="center"/>
            </w:pPr>
            <w:r>
              <w:rPr>
                <w:b/>
                <w:sz w:val="14"/>
              </w:rPr>
              <w:t>VN1</w:t>
            </w:r>
          </w:p>
        </w:tc>
      </w:tr>
      <w:tr>
        <w:tc>
          <w:tcPr>
            <w:tcW w:type="dxa" w:w="2494"/>
          </w:tcPr>
          <w:p>
            <w:pPr>
              <w:pStyle w:val="TableCell"/>
              <w:spacing w:before="0" w:after="0" w:line="240" w:lineRule="auto"/>
              <w:ind w:firstLine="0" w:left="0" w:right="0"/>
              <w:jc w:val="left"/>
            </w:pPr>
            <w:r>
              <w:rPr>
                <w:sz w:val="14"/>
              </w:rPr>
              <w:t>Setting</w:t>
            </w:r>
          </w:p>
        </w:tc>
        <w:tc>
          <w:tcPr>
            <w:tcW w:type="dxa" w:w="3118"/>
          </w:tcPr>
          <w:p>
            <w:pPr>
              <w:pStyle w:val="TableCell"/>
              <w:spacing w:before="0" w:after="0" w:line="240" w:lineRule="auto"/>
              <w:ind w:firstLine="0" w:left="0" w:right="0"/>
              <w:jc w:val="center"/>
            </w:pPr>
            <w:r>
              <w:rPr>
                <w:sz w:val="14"/>
              </w:rPr>
              <w:t>one retailer, 10 physical stores</w:t>
            </w:r>
          </w:p>
        </w:tc>
        <w:tc>
          <w:tcPr>
            <w:tcW w:type="dxa" w:w="3118"/>
          </w:tcPr>
          <w:p>
            <w:pPr>
              <w:pStyle w:val="TableCell"/>
              <w:spacing w:before="0" w:after="0" w:line="240" w:lineRule="auto"/>
              <w:ind w:firstLine="0" w:left="0" w:right="0"/>
              <w:jc w:val="center"/>
            </w:pPr>
            <w:r>
              <w:rPr>
                <w:sz w:val="14"/>
              </w:rPr>
              <w:t>multi-vendor e-commerce, 46 vendors, 328 warehouses</w:t>
            </w:r>
          </w:p>
        </w:tc>
      </w:tr>
      <w:tr>
        <w:tc>
          <w:tcPr>
            <w:tcW w:type="dxa" w:w="2494"/>
          </w:tcPr>
          <w:p>
            <w:pPr>
              <w:pStyle w:val="TableCell"/>
              <w:spacing w:before="0" w:after="0" w:line="240" w:lineRule="auto"/>
              <w:ind w:firstLine="0" w:left="0" w:right="0"/>
              <w:jc w:val="left"/>
            </w:pPr>
            <w:r>
              <w:rPr>
                <w:sz w:val="14"/>
              </w:rPr>
              <w:t>Series in panel / evaluated (main, second, third window)</w:t>
            </w:r>
          </w:p>
        </w:tc>
        <w:tc>
          <w:tcPr>
            <w:tcW w:type="dxa" w:w="3118"/>
          </w:tcPr>
          <w:p>
            <w:pPr>
              <w:pStyle w:val="TableCell"/>
              <w:spacing w:before="0" w:after="0" w:line="240" w:lineRule="auto"/>
              <w:ind w:firstLine="0" w:left="0" w:right="0"/>
              <w:jc w:val="center"/>
            </w:pPr>
            <w:r>
              <w:rPr>
                <w:sz w:val="14"/>
              </w:rPr>
              <w:t>30,490 / 30,381, 29,917, 28,824</w:t>
            </w:r>
          </w:p>
        </w:tc>
        <w:tc>
          <w:tcPr>
            <w:tcW w:type="dxa" w:w="3118"/>
          </w:tcPr>
          <w:p>
            <w:pPr>
              <w:pStyle w:val="TableCell"/>
              <w:spacing w:before="0" w:after="0" w:line="240" w:lineRule="auto"/>
              <w:ind w:firstLine="0" w:left="0" w:right="0"/>
              <w:jc w:val="center"/>
            </w:pPr>
            <w:r>
              <w:rPr>
                <w:sz w:val="14"/>
              </w:rPr>
              <w:t>15,053 / 13,844, 11,442, 9,383</w:t>
            </w:r>
          </w:p>
        </w:tc>
      </w:tr>
      <w:tr>
        <w:tc>
          <w:tcPr>
            <w:tcW w:type="dxa" w:w="2494"/>
          </w:tcPr>
          <w:p>
            <w:pPr>
              <w:pStyle w:val="TableCell"/>
              <w:spacing w:before="0" w:after="0" w:line="240" w:lineRule="auto"/>
              <w:ind w:firstLine="0" w:left="0" w:right="0"/>
              <w:jc w:val="left"/>
            </w:pPr>
            <w:r>
              <w:rPr>
                <w:sz w:val="14"/>
              </w:rPr>
              <w:t>Weeks</w:t>
            </w:r>
          </w:p>
        </w:tc>
        <w:tc>
          <w:tcPr>
            <w:tcW w:type="dxa" w:w="3118"/>
          </w:tcPr>
          <w:p>
            <w:pPr>
              <w:pStyle w:val="TableCell"/>
              <w:spacing w:before="0" w:after="0" w:line="240" w:lineRule="auto"/>
              <w:ind w:firstLine="0" w:left="0" w:right="0"/>
              <w:jc w:val="center"/>
            </w:pPr>
            <w:r>
              <w:rPr>
                <w:sz w:val="14"/>
              </w:rPr>
              <w:t>277</w:t>
            </w:r>
          </w:p>
        </w:tc>
        <w:tc>
          <w:tcPr>
            <w:tcW w:type="dxa" w:w="3118"/>
          </w:tcPr>
          <w:p>
            <w:pPr>
              <w:pStyle w:val="TableCell"/>
              <w:spacing w:before="0" w:after="0" w:line="240" w:lineRule="auto"/>
              <w:ind w:firstLine="0" w:left="0" w:right="0"/>
              <w:jc w:val="center"/>
            </w:pPr>
            <w:r>
              <w:rPr>
                <w:sz w:val="14"/>
              </w:rPr>
              <w:t>196</w:t>
            </w:r>
          </w:p>
        </w:tc>
      </w:tr>
      <w:tr>
        <w:tc>
          <w:tcPr>
            <w:tcW w:type="dxa" w:w="2494"/>
          </w:tcPr>
          <w:p>
            <w:pPr>
              <w:pStyle w:val="TableCell"/>
              <w:spacing w:before="0" w:after="0" w:line="240" w:lineRule="auto"/>
              <w:ind w:firstLine="0" w:left="0" w:right="0"/>
              <w:jc w:val="left"/>
            </w:pPr>
            <w:r>
              <w:rPr>
                <w:sz w:val="14"/>
              </w:rPr>
              <w:t>Zero weeks since series start</w:t>
            </w:r>
          </w:p>
        </w:tc>
        <w:tc>
          <w:tcPr>
            <w:tcW w:type="dxa" w:w="3118"/>
          </w:tcPr>
          <w:p>
            <w:pPr>
              <w:pStyle w:val="TableCell"/>
              <w:spacing w:before="0" w:after="0" w:line="240" w:lineRule="auto"/>
              <w:ind w:firstLine="0" w:left="0" w:right="0"/>
              <w:jc w:val="center"/>
            </w:pPr>
            <w:r>
              <w:rPr>
                <w:sz w:val="14"/>
              </w:rPr>
              <w:t>24.4%</w:t>
            </w:r>
          </w:p>
        </w:tc>
        <w:tc>
          <w:tcPr>
            <w:tcW w:type="dxa" w:w="3118"/>
          </w:tcPr>
          <w:p>
            <w:pPr>
              <w:pStyle w:val="TableCell"/>
              <w:spacing w:before="0" w:after="0" w:line="240" w:lineRule="auto"/>
              <w:ind w:firstLine="0" w:left="0" w:right="0"/>
              <w:jc w:val="center"/>
            </w:pPr>
            <w:r>
              <w:rPr>
                <w:sz w:val="14"/>
              </w:rPr>
              <w:t>49.1%</w:t>
            </w:r>
          </w:p>
        </w:tc>
      </w:tr>
      <w:tr>
        <w:tc>
          <w:tcPr>
            <w:tcW w:type="dxa" w:w="2494"/>
          </w:tcPr>
          <w:p>
            <w:pPr>
              <w:pStyle w:val="TableCell"/>
              <w:spacing w:before="0" w:after="0" w:line="240" w:lineRule="auto"/>
              <w:ind w:firstLine="0" w:left="0" w:right="0"/>
              <w:jc w:val="left"/>
            </w:pPr>
            <w:r>
              <w:rPr>
                <w:sz w:val="14"/>
              </w:rPr>
              <w:t>Smooth / erratic / intermittent / lumpy</w:t>
            </w:r>
          </w:p>
        </w:tc>
        <w:tc>
          <w:tcPr>
            <w:tcW w:type="dxa" w:w="3118"/>
          </w:tcPr>
          <w:p>
            <w:pPr>
              <w:pStyle w:val="TableCell"/>
              <w:spacing w:before="0" w:after="0" w:line="240" w:lineRule="auto"/>
              <w:ind w:firstLine="0" w:left="0" w:right="0"/>
              <w:jc w:val="center"/>
            </w:pPr>
            <w:r>
              <w:rPr>
                <w:sz w:val="14"/>
              </w:rPr>
              <w:t>53.0 / 5.8 / 33.9 / 7.3%</w:t>
            </w:r>
          </w:p>
        </w:tc>
        <w:tc>
          <w:tcPr>
            <w:tcW w:type="dxa" w:w="3118"/>
          </w:tcPr>
          <w:p>
            <w:pPr>
              <w:pStyle w:val="TableCell"/>
              <w:spacing w:before="0" w:after="0" w:line="240" w:lineRule="auto"/>
              <w:ind w:firstLine="0" w:left="0" w:right="0"/>
              <w:jc w:val="center"/>
            </w:pPr>
            <w:r>
              <w:rPr>
                <w:sz w:val="14"/>
              </w:rPr>
              <w:t>18.8 / 13.7 / 47.2 / 20.3%</w:t>
            </w:r>
          </w:p>
        </w:tc>
      </w:tr>
      <w:tr>
        <w:tc>
          <w:tcPr>
            <w:tcW w:type="dxa" w:w="2494"/>
          </w:tcPr>
          <w:p>
            <w:pPr>
              <w:pStyle w:val="TableCell"/>
              <w:spacing w:before="0" w:after="0" w:line="240" w:lineRule="auto"/>
              <w:ind w:firstLine="0" w:left="0" w:right="0"/>
              <w:jc w:val="left"/>
            </w:pPr>
            <w:r>
              <w:rPr>
                <w:sz w:val="14"/>
              </w:rPr>
              <w:t>Exogenous information</w:t>
            </w:r>
          </w:p>
        </w:tc>
        <w:tc>
          <w:tcPr>
            <w:tcW w:type="dxa" w:w="3118"/>
          </w:tcPr>
          <w:p>
            <w:pPr>
              <w:pStyle w:val="TableCell"/>
              <w:spacing w:before="0" w:after="0" w:line="240" w:lineRule="auto"/>
              <w:ind w:firstLine="0" w:left="0" w:right="0"/>
              <w:jc w:val="center"/>
            </w:pPr>
            <w:r>
              <w:rPr>
                <w:sz w:val="14"/>
              </w:rPr>
              <w:t>price, events, SNAP days, product hierarchy</w:t>
            </w:r>
          </w:p>
        </w:tc>
        <w:tc>
          <w:tcPr>
            <w:tcW w:type="dxa" w:w="3118"/>
          </w:tcPr>
          <w:p>
            <w:pPr>
              <w:pStyle w:val="TableCell"/>
              <w:spacing w:before="0" w:after="0" w:line="240" w:lineRule="auto"/>
              <w:ind w:firstLine="0" w:left="0" w:right="0"/>
              <w:jc w:val="center"/>
            </w:pPr>
            <w:r>
              <w:rPr>
                <w:sz w:val="14"/>
              </w:rPr>
              <w:t>price in weeks with sales only</w:t>
            </w:r>
          </w:p>
        </w:tc>
      </w:tr>
    </w:tbl>
    <w:p>
      <w:pPr>
        <w:pStyle w:val="Para"/>
      </w:pPr>
      <w:r>
        <w:t>Both datasets pass through the same code; the one definitional difference, the series start, coincides for 99.5% of the M5 series. The datasets nevertheless contain different kinds of series: a classifier separates them with an AUC of 0.91 from nine demand features alone (see Section 5.7).</w:t>
      </w:r>
    </w:p>
    <w:p>
      <w:pPr>
        <w:pStyle w:val="Head2"/>
      </w:pPr>
      <w:r>
        <w:t>Forecasting target and methods</w:t>
      </w:r>
    </w:p>
    <w:p>
      <w:pPr>
        <w:pStyle w:val="PostHeadPara"/>
      </w:pPr>
      <w:r>
        <w:t>At each weekly origin, every method forecasts the quantiles q ∈ {0.5, 0.8, 0.9, 0.95, 0.99} of the cumulative demand over h weeks directly, with h = 3 for replenishment and h = 13 for liquidation. Weekly quantiles are not summed, because the quantile of a sum is not the sum of quantiles.</w:t>
      </w:r>
    </w:p>
    <w:p>
      <w:pPr>
        <w:pStyle w:val="Para"/>
      </w:pPr>
      <w:r>
        <w:rPr>
          <w:b/>
        </w:rPr>
        <w:t>EMP</w:t>
      </w:r>
      <w:r>
        <w:t>: empirical quantiles of rolling h-week sums over the last 104 weeks.</w:t>
      </w:r>
    </w:p>
    <w:p>
      <w:pPr>
        <w:pStyle w:val="Para"/>
      </w:pPr>
      <w:r>
        <w:rPr>
          <w:b/>
        </w:rPr>
        <w:t>ETS</w:t>
      </w:r>
      <w:r>
        <w:t>: simple exponential smoothing with a normal distribution for the h-week total [18].</w:t>
      </w:r>
    </w:p>
    <w:p>
      <w:pPr>
        <w:pStyle w:val="Para"/>
      </w:pPr>
      <w:r>
        <w:rPr>
          <w:b/>
        </w:rPr>
        <w:t>TSB-NB</w:t>
      </w:r>
      <w:r>
        <w:t>: TSB [10] with a negative-binomial distribution, a common choice for intermittent demand [25], matched to the mean and variance of the h-week total.</w:t>
      </w:r>
    </w:p>
    <w:p>
      <w:pPr>
        <w:pStyle w:val="Para"/>
      </w:pPr>
      <w:r>
        <w:rPr>
          <w:b/>
        </w:rPr>
        <w:t>LGB-T</w:t>
      </w:r>
      <w:r>
        <w:t>: a global LightGBM [15] point model with a Tweedie loss plus a normal safety stock from each series' validation residuals. This is the common "point forecast plus safety stock" practice.</w:t>
      </w:r>
    </w:p>
    <w:p>
      <w:pPr>
        <w:pStyle w:val="Para"/>
      </w:pPr>
      <w:r>
        <w:rPr>
          <w:b/>
        </w:rPr>
        <w:t>LGB-C</w:t>
      </w:r>
      <w:r>
        <w:t>: the same point model with split-conformal quantiles [17] pooled by demand class.</w:t>
      </w:r>
    </w:p>
    <w:p>
      <w:pPr>
        <w:pStyle w:val="Para"/>
      </w:pPr>
      <w:r>
        <w:rPr>
          <w:b/>
        </w:rPr>
        <w:t>HGB-Q</w:t>
      </w:r>
      <w:r>
        <w:t>: histogram gradient boosting [19] with a quantile loss, trained on a 300,000-row sample; a check that the results do not depend on one library.</w:t>
      </w:r>
    </w:p>
    <w:p>
      <w:pPr>
        <w:pStyle w:val="Para"/>
      </w:pPr>
      <w:r>
        <w:rPr>
          <w:b/>
        </w:rPr>
        <w:t>LGB-Q</w:t>
      </w:r>
      <w:r>
        <w:t>: LightGBM quantile regression [16], one global model per quantile (main model).</w:t>
      </w:r>
    </w:p>
    <w:p>
      <w:pPr>
        <w:pStyle w:val="Para"/>
      </w:pPr>
      <w:r>
        <w:t xml:space="preserve">Section 5.5 adds </w:t>
      </w:r>
      <w:r>
        <w:rPr>
          <w:b/>
        </w:rPr>
        <w:t>C2</w:t>
      </w:r>
      <w:r>
        <w:t>, the mean of the LGB-Q and TSB-NB quantiles.</w:t>
      </w:r>
    </w:p>
    <w:p>
      <w:pPr>
        <w:pStyle w:val="Para"/>
      </w:pPr>
      <w:r>
        <w:t>The four global models share features (lags, rolling means and standard deviations, zero share, weeks since the last sale, calendar, price, and a scale) and a target scaled by the series level. M5 adds events, SNAP days and the product hierarchy. Hyper-parameters are fixed; no model is tuned.</w:t>
      </w:r>
    </w:p>
    <w:p>
      <w:pPr>
        <w:pStyle w:val="Head2"/>
      </w:pPr>
      <w:r>
        <w:t>Decision layer</w:t>
      </w:r>
    </w:p>
    <w:p>
      <w:pPr>
        <w:pStyle w:val="PostHeadPara"/>
      </w:pPr>
      <w:r>
        <w:t>Each week, for every series: (1) the order placed L weeks earlier arrives; (2) the inventory position IP is on-hand plus on-order stock; (3) stock above a liquidation threshold T is liquidated; (4) an order max(S − IP, 0) is placed, with S the τ-quantile of demand over L + 1 weeks, unless stock was liquidated; (5) demand occurs and unmet demand is lost. The default lead time is L = 2 weeks.</w:t>
      </w:r>
    </w:p>
    <w:p>
      <w:pPr>
        <w:pStyle w:val="Para"/>
      </w:pPr>
      <w:r>
        <w:t xml:space="preserve">Four liquidation policies use the same replenishment forecasts: none; </w:t>
      </w:r>
      <w:r>
        <w:rPr>
          <w:b/>
        </w:rPr>
        <w:t>quantile</w:t>
      </w:r>
      <w:r>
        <w:t xml:space="preserve"> (T is the 0.95-quantile of 13-week demand from the same method); </w:t>
      </w:r>
      <w:r>
        <w:rPr>
          <w:b/>
        </w:rPr>
        <w:t>fixed</w:t>
      </w:r>
      <w:r>
        <w:t xml:space="preserve"> (T is 26 times the mean weekly sales of the last 26 weeks); and </w:t>
      </w:r>
      <w:r>
        <w:rPr>
          <w:b/>
        </w:rPr>
        <w:t>dead13</w:t>
      </w:r>
      <w:r>
        <w:t xml:space="preserve"> (a series without a sale in 13 weeks is liquidated completely and not replenished until it sells again).</w:t>
      </w:r>
    </w:p>
    <w:p>
      <w:pPr>
        <w:pStyle w:val="Head2"/>
      </w:pPr>
      <w:r>
        <w:t>Evaluation</w:t>
      </w:r>
    </w:p>
    <w:p>
      <w:pPr>
        <w:pStyle w:val="PostHeadPara"/>
      </w:pPr>
      <w:r>
        <w:rPr>
          <w:i/>
        </w:rPr>
        <w:t>Accuracy.</w:t>
      </w:r>
      <w:r>
        <w:t xml:space="preserve"> The usual scaled quantile loss divides each series' pinball loss by its in-sample naive error. Its mean is unstable on VN1 (Section 5.1). We therefore report the volume-weighted quantile loss wQL (total pinball loss divided by total demand), the median per-series scaled loss, and mean per-series ranks with the Friedman test and the Nemenyi critical difference [20].</w:t>
      </w:r>
    </w:p>
    <w:p>
      <w:pPr>
        <w:pStyle w:val="Para"/>
      </w:pPr>
      <w:r>
        <w:rPr>
          <w:i/>
        </w:rPr>
        <w:t>Inventory.</w:t>
      </w:r>
      <w:r>
        <w:t xml:space="preserve"> Over the 22 test weeks after a 4-week warm-up we compute the fill rate (units sold / units demanded) and inventory in weeks of demand. At a fixed τ the methods reach different fill rates, so we run τ over the five quantile levels, draw each method's trade-off curve, a standard tool in inventory evaluations [7, 25], and interpolate the inventory needed to reach a target fill rate. The frontier rank is a method's mean rank of required inventory over the targets 0.90–0.98. Confidence intervals come from resampling series (200 resamples).</w:t>
      </w:r>
    </w:p>
    <w:p>
      <w:pPr>
        <w:pStyle w:val="Para"/>
      </w:pPr>
      <w:r>
        <w:rPr>
          <w:i/>
        </w:rPr>
        <w:t>Liquidation.</w:t>
      </w:r>
      <w:r>
        <w:t xml:space="preserve"> For each policy we compute the break-even salvage ratio s*, the minimum salvage price per unit cost at which liquidating is at least as profitable as holding, over holding costs of 10–40% per year and gross margins of 30–100%.</w:t>
      </w:r>
    </w:p>
    <w:p>
      <w:pPr>
        <w:pStyle w:val="Head1"/>
      </w:pPr>
      <w:r>
        <w:t>Experimental Setup</w:t>
      </w:r>
    </w:p>
    <w:p>
      <w:pPr>
        <w:pStyle w:val="PostHeadPara"/>
      </w:pPr>
      <w:r>
        <w:t>The last 26 weeks of a panel form the test period, in two 13-week blocks; models are retrained at the start of each block and every test week is a forecast origin. To test robustness we drop the last 26 and the last 52 weeks and repeat everything, including model training, on the preceding 26 weeks. This gives three test windows per dataset (main, second, third). On a laptop CPU (Intel Core i5-12450H, 16 GB RAM) one horizon of LGB-Q took 1,251 s on M5 and 146 s on VN1. Code and result files are available at [link to be added].</w:t>
      </w:r>
    </w:p>
    <w:p>
      <w:pPr>
        <w:pStyle w:val="Head1"/>
      </w:pPr>
      <w:r>
        <w:t>Results</w:t>
      </w:r>
    </w:p>
    <w:p>
      <w:pPr>
        <w:pStyle w:val="Head2"/>
      </w:pPr>
      <w:r>
        <w:t>Accuracy</w:t>
      </w:r>
    </w:p>
    <w:p>
      <w:pPr>
        <w:pStyle w:val="TableCaption"/>
      </w:pPr>
      <w:r>
        <w:t>Table 2: Forecast accuracy, all series, h = 3. wQL = volume-weighted quantile loss; median = median per-series scaled quantile loss; rank = mean per-series rank among the seven methods (CD = Nemenyi critical difference). Three test windows: main / second / third. Lower is better.</w:t>
      </w:r>
    </w:p>
    <w:tbl>
      <w:tblPr>
        <w:tblStyle w:val="affff1"/>
        <w:tblW w:type="auto" w:w="0"/>
        <w:jc w:val="center"/>
        <w:tblLayout w:type="fixed"/>
        <w:tblLook w:firstColumn="1" w:firstRow="1" w:lastColumn="0" w:lastRow="0" w:noHBand="0" w:noVBand="1" w:val="04A0"/>
        <w:tblCellMar>
          <w:left w:w="40" w:type="dxa"/>
          <w:right w:w="40" w:type="dxa"/>
        </w:tblCellMar>
      </w:tblPr>
      <w:tblGrid>
        <w:gridCol w:w="1251"/>
        <w:gridCol w:w="1251"/>
        <w:gridCol w:w="1251"/>
        <w:gridCol w:w="1251"/>
        <w:gridCol w:w="1251"/>
        <w:gridCol w:w="1251"/>
        <w:gridCol w:w="1251"/>
      </w:tblGrid>
      <w:tr>
        <w:tc>
          <w:tcPr>
            <w:tcW w:type="dxa" w:w="907"/>
          </w:tcPr>
          <w:p>
            <w:pPr>
              <w:pStyle w:val="TableCell"/>
              <w:spacing w:before="0" w:after="0" w:line="240" w:lineRule="auto"/>
              <w:ind w:firstLine="0" w:left="0" w:right="0"/>
              <w:jc w:val="left"/>
            </w:pPr>
            <w:r>
              <w:rPr>
                <w:b/>
                <w:sz w:val="13"/>
              </w:rPr>
              <w:t>Method</w:t>
            </w:r>
          </w:p>
        </w:tc>
        <w:tc>
          <w:tcPr>
            <w:tcW w:type="dxa" w:w="1304"/>
          </w:tcPr>
          <w:p>
            <w:pPr>
              <w:pStyle w:val="TableCell"/>
              <w:spacing w:before="0" w:after="0" w:line="240" w:lineRule="auto"/>
              <w:ind w:firstLine="0" w:left="0" w:right="0"/>
              <w:jc w:val="center"/>
            </w:pPr>
            <w:r>
              <w:rPr>
                <w:b/>
                <w:sz w:val="13"/>
              </w:rPr>
              <w:t>M5 wQL</w:t>
            </w:r>
          </w:p>
        </w:tc>
        <w:tc>
          <w:tcPr>
            <w:tcW w:type="dxa" w:w="1304"/>
          </w:tcPr>
          <w:p>
            <w:pPr>
              <w:pStyle w:val="TableCell"/>
              <w:spacing w:before="0" w:after="0" w:line="240" w:lineRule="auto"/>
              <w:ind w:firstLine="0" w:left="0" w:right="0"/>
              <w:jc w:val="center"/>
            </w:pPr>
            <w:r>
              <w:rPr>
                <w:b/>
                <w:sz w:val="13"/>
              </w:rPr>
              <w:t>M5 median</w:t>
            </w:r>
          </w:p>
        </w:tc>
        <w:tc>
          <w:tcPr>
            <w:tcW w:type="dxa" w:w="1304"/>
          </w:tcPr>
          <w:p>
            <w:pPr>
              <w:pStyle w:val="TableCell"/>
              <w:spacing w:before="0" w:after="0" w:line="240" w:lineRule="auto"/>
              <w:ind w:firstLine="0" w:left="0" w:right="0"/>
              <w:jc w:val="center"/>
            </w:pPr>
            <w:r>
              <w:rPr>
                <w:b/>
                <w:sz w:val="13"/>
              </w:rPr>
              <w:t>M5 rank</w:t>
            </w:r>
          </w:p>
        </w:tc>
        <w:tc>
          <w:tcPr>
            <w:tcW w:type="dxa" w:w="1304"/>
          </w:tcPr>
          <w:p>
            <w:pPr>
              <w:pStyle w:val="TableCell"/>
              <w:spacing w:before="0" w:after="0" w:line="240" w:lineRule="auto"/>
              <w:ind w:firstLine="0" w:left="0" w:right="0"/>
              <w:jc w:val="center"/>
            </w:pPr>
            <w:r>
              <w:rPr>
                <w:b/>
                <w:sz w:val="13"/>
              </w:rPr>
              <w:t>VN1 wQL</w:t>
            </w:r>
          </w:p>
        </w:tc>
        <w:tc>
          <w:tcPr>
            <w:tcW w:type="dxa" w:w="1304"/>
          </w:tcPr>
          <w:p>
            <w:pPr>
              <w:pStyle w:val="TableCell"/>
              <w:spacing w:before="0" w:after="0" w:line="240" w:lineRule="auto"/>
              <w:ind w:firstLine="0" w:left="0" w:right="0"/>
              <w:jc w:val="center"/>
            </w:pPr>
            <w:r>
              <w:rPr>
                <w:b/>
                <w:sz w:val="13"/>
              </w:rPr>
              <w:t>VN1 median</w:t>
            </w:r>
          </w:p>
        </w:tc>
        <w:tc>
          <w:tcPr>
            <w:tcW w:type="dxa" w:w="1304"/>
          </w:tcPr>
          <w:p>
            <w:pPr>
              <w:pStyle w:val="TableCell"/>
              <w:spacing w:before="0" w:after="0" w:line="240" w:lineRule="auto"/>
              <w:ind w:firstLine="0" w:left="0" w:right="0"/>
              <w:jc w:val="center"/>
            </w:pPr>
            <w:r>
              <w:rPr>
                <w:b/>
                <w:sz w:val="13"/>
              </w:rPr>
              <w:t>VN1 rank</w:t>
            </w:r>
          </w:p>
        </w:tc>
      </w:tr>
      <w:tr>
        <w:tc>
          <w:tcPr>
            <w:tcW w:type="dxa" w:w="907"/>
          </w:tcPr>
          <w:p>
            <w:pPr>
              <w:pStyle w:val="TableCell"/>
              <w:spacing w:before="0" w:after="0" w:line="240" w:lineRule="auto"/>
              <w:ind w:firstLine="0" w:left="0" w:right="0"/>
              <w:jc w:val="left"/>
            </w:pPr>
            <w:r>
              <w:rPr>
                <w:sz w:val="13"/>
              </w:rPr>
              <w:t>EMP</w:t>
            </w:r>
          </w:p>
        </w:tc>
        <w:tc>
          <w:tcPr>
            <w:tcW w:type="dxa" w:w="1304"/>
          </w:tcPr>
          <w:p>
            <w:pPr>
              <w:pStyle w:val="TableCell"/>
              <w:spacing w:before="0" w:after="0" w:line="240" w:lineRule="auto"/>
              <w:ind w:firstLine="0" w:left="0" w:right="0"/>
              <w:jc w:val="center"/>
            </w:pPr>
            <w:r>
              <w:rPr>
                <w:sz w:val="13"/>
              </w:rPr>
              <w:t>0.115</w:t>
            </w:r>
            <w:r>
              <w:br/>
            </w:r>
            <w:r>
              <w:rPr>
                <w:sz w:val="13"/>
              </w:rPr>
              <w:t>0.120</w:t>
            </w:r>
            <w:r>
              <w:br/>
            </w:r>
            <w:r>
              <w:rPr>
                <w:sz w:val="13"/>
              </w:rPr>
              <w:t>0.126</w:t>
            </w:r>
          </w:p>
        </w:tc>
        <w:tc>
          <w:tcPr>
            <w:tcW w:type="dxa" w:w="1304"/>
          </w:tcPr>
          <w:p>
            <w:pPr>
              <w:pStyle w:val="TableCell"/>
              <w:spacing w:before="0" w:after="0" w:line="240" w:lineRule="auto"/>
              <w:ind w:firstLine="0" w:left="0" w:right="0"/>
              <w:jc w:val="center"/>
            </w:pPr>
            <w:r>
              <w:rPr>
                <w:sz w:val="13"/>
              </w:rPr>
              <w:t>0.174</w:t>
            </w:r>
            <w:r>
              <w:br/>
            </w:r>
            <w:r>
              <w:rPr>
                <w:sz w:val="13"/>
              </w:rPr>
              <w:t>0.176</w:t>
            </w:r>
            <w:r>
              <w:br/>
            </w:r>
            <w:r>
              <w:rPr>
                <w:sz w:val="13"/>
              </w:rPr>
              <w:t>0.176</w:t>
            </w:r>
          </w:p>
        </w:tc>
        <w:tc>
          <w:tcPr>
            <w:tcW w:type="dxa" w:w="1304"/>
          </w:tcPr>
          <w:p>
            <w:pPr>
              <w:pStyle w:val="TableCell"/>
              <w:spacing w:before="0" w:after="0" w:line="240" w:lineRule="auto"/>
              <w:ind w:firstLine="0" w:left="0" w:right="0"/>
              <w:jc w:val="center"/>
            </w:pPr>
            <w:r>
              <w:rPr>
                <w:sz w:val="13"/>
              </w:rPr>
              <w:t>4.85</w:t>
            </w:r>
            <w:r>
              <w:br/>
            </w:r>
            <w:r>
              <w:rPr>
                <w:sz w:val="13"/>
              </w:rPr>
              <w:t>4.88</w:t>
            </w:r>
            <w:r>
              <w:br/>
            </w:r>
            <w:r>
              <w:rPr>
                <w:sz w:val="13"/>
              </w:rPr>
              <w:t>4.95</w:t>
            </w:r>
          </w:p>
        </w:tc>
        <w:tc>
          <w:tcPr>
            <w:tcW w:type="dxa" w:w="1304"/>
          </w:tcPr>
          <w:p>
            <w:pPr>
              <w:pStyle w:val="TableCell"/>
              <w:spacing w:before="0" w:after="0" w:line="240" w:lineRule="auto"/>
              <w:ind w:firstLine="0" w:left="0" w:right="0"/>
              <w:jc w:val="center"/>
            </w:pPr>
            <w:r>
              <w:rPr>
                <w:sz w:val="13"/>
              </w:rPr>
              <w:t>0.172</w:t>
            </w:r>
            <w:r>
              <w:br/>
            </w:r>
            <w:r>
              <w:rPr>
                <w:sz w:val="13"/>
              </w:rPr>
              <w:t>0.146</w:t>
            </w:r>
            <w:r>
              <w:br/>
            </w:r>
            <w:r>
              <w:rPr>
                <w:sz w:val="13"/>
              </w:rPr>
              <w:t>0.197</w:t>
            </w:r>
          </w:p>
        </w:tc>
        <w:tc>
          <w:tcPr>
            <w:tcW w:type="dxa" w:w="1304"/>
          </w:tcPr>
          <w:p>
            <w:pPr>
              <w:pStyle w:val="TableCell"/>
              <w:spacing w:before="0" w:after="0" w:line="240" w:lineRule="auto"/>
              <w:ind w:firstLine="0" w:left="0" w:right="0"/>
              <w:jc w:val="center"/>
            </w:pPr>
            <w:r>
              <w:rPr>
                <w:sz w:val="13"/>
              </w:rPr>
              <w:t>0.202</w:t>
            </w:r>
            <w:r>
              <w:br/>
            </w:r>
            <w:r>
              <w:rPr>
                <w:sz w:val="13"/>
              </w:rPr>
              <w:t>0.207</w:t>
            </w:r>
            <w:r>
              <w:br/>
            </w:r>
            <w:r>
              <w:rPr>
                <w:sz w:val="13"/>
              </w:rPr>
              <w:t>0.239</w:t>
            </w:r>
          </w:p>
        </w:tc>
        <w:tc>
          <w:tcPr>
            <w:tcW w:type="dxa" w:w="1304"/>
          </w:tcPr>
          <w:p>
            <w:pPr>
              <w:pStyle w:val="TableCell"/>
              <w:spacing w:before="0" w:after="0" w:line="240" w:lineRule="auto"/>
              <w:ind w:firstLine="0" w:left="0" w:right="0"/>
              <w:jc w:val="center"/>
            </w:pPr>
            <w:r>
              <w:rPr>
                <w:sz w:val="13"/>
              </w:rPr>
              <w:t>4.72</w:t>
            </w:r>
            <w:r>
              <w:br/>
            </w:r>
            <w:r>
              <w:rPr>
                <w:sz w:val="13"/>
              </w:rPr>
              <w:t>4.91</w:t>
            </w:r>
            <w:r>
              <w:br/>
            </w:r>
            <w:r>
              <w:rPr>
                <w:sz w:val="13"/>
              </w:rPr>
              <w:t>4.90</w:t>
            </w:r>
          </w:p>
        </w:tc>
      </w:tr>
      <w:tr>
        <w:tc>
          <w:tcPr>
            <w:tcW w:type="dxa" w:w="907"/>
          </w:tcPr>
          <w:p>
            <w:pPr>
              <w:pStyle w:val="TableCell"/>
              <w:spacing w:before="0" w:after="0" w:line="240" w:lineRule="auto"/>
              <w:ind w:firstLine="0" w:left="0" w:right="0"/>
              <w:jc w:val="left"/>
            </w:pPr>
            <w:r>
              <w:rPr>
                <w:sz w:val="13"/>
              </w:rPr>
              <w:t>TSB-NB</w:t>
            </w:r>
          </w:p>
        </w:tc>
        <w:tc>
          <w:tcPr>
            <w:tcW w:type="dxa" w:w="1304"/>
          </w:tcPr>
          <w:p>
            <w:pPr>
              <w:pStyle w:val="TableCell"/>
              <w:spacing w:before="0" w:after="0" w:line="240" w:lineRule="auto"/>
              <w:ind w:firstLine="0" w:left="0" w:right="0"/>
              <w:jc w:val="center"/>
            </w:pPr>
            <w:r>
              <w:rPr>
                <w:sz w:val="13"/>
              </w:rPr>
              <w:t>0.088</w:t>
            </w:r>
            <w:r>
              <w:br/>
            </w:r>
            <w:r>
              <w:rPr>
                <w:sz w:val="13"/>
              </w:rPr>
              <w:t>0.091</w:t>
            </w:r>
            <w:r>
              <w:br/>
            </w:r>
            <w:r>
              <w:rPr>
                <w:sz w:val="13"/>
              </w:rPr>
              <w:t>0.098</w:t>
            </w:r>
          </w:p>
        </w:tc>
        <w:tc>
          <w:tcPr>
            <w:tcW w:type="dxa" w:w="1304"/>
          </w:tcPr>
          <w:p>
            <w:pPr>
              <w:pStyle w:val="TableCell"/>
              <w:spacing w:before="0" w:after="0" w:line="240" w:lineRule="auto"/>
              <w:ind w:firstLine="0" w:left="0" w:right="0"/>
              <w:jc w:val="center"/>
            </w:pPr>
            <w:r>
              <w:rPr>
                <w:sz w:val="13"/>
              </w:rPr>
              <w:t>0.155</w:t>
            </w:r>
            <w:r>
              <w:br/>
            </w:r>
            <w:r>
              <w:rPr>
                <w:sz w:val="13"/>
              </w:rPr>
              <w:t>0.150</w:t>
            </w:r>
            <w:r>
              <w:br/>
            </w:r>
            <w:r>
              <w:rPr>
                <w:sz w:val="13"/>
              </w:rPr>
              <w:t>0.150</w:t>
            </w:r>
          </w:p>
        </w:tc>
        <w:tc>
          <w:tcPr>
            <w:tcW w:type="dxa" w:w="1304"/>
          </w:tcPr>
          <w:p>
            <w:pPr>
              <w:pStyle w:val="TableCell"/>
              <w:spacing w:before="0" w:after="0" w:line="240" w:lineRule="auto"/>
              <w:ind w:firstLine="0" w:left="0" w:right="0"/>
              <w:jc w:val="center"/>
            </w:pPr>
            <w:r>
              <w:rPr>
                <w:sz w:val="13"/>
              </w:rPr>
              <w:t>4.22</w:t>
            </w:r>
            <w:r>
              <w:br/>
            </w:r>
            <w:r>
              <w:rPr>
                <w:sz w:val="13"/>
              </w:rPr>
              <w:t>3.99</w:t>
            </w:r>
            <w:r>
              <w:br/>
            </w:r>
            <w:r>
              <w:rPr>
                <w:sz w:val="13"/>
              </w:rPr>
              <w:t>4.12</w:t>
            </w:r>
          </w:p>
        </w:tc>
        <w:tc>
          <w:tcPr>
            <w:tcW w:type="dxa" w:w="1304"/>
          </w:tcPr>
          <w:p>
            <w:pPr>
              <w:pStyle w:val="TableCell"/>
              <w:spacing w:before="0" w:after="0" w:line="240" w:lineRule="auto"/>
              <w:ind w:firstLine="0" w:left="0" w:right="0"/>
              <w:jc w:val="center"/>
            </w:pPr>
            <w:r>
              <w:rPr>
                <w:sz w:val="13"/>
              </w:rPr>
              <w:t>0.129</w:t>
            </w:r>
            <w:r>
              <w:br/>
            </w:r>
            <w:r>
              <w:rPr>
                <w:sz w:val="13"/>
              </w:rPr>
              <w:t>0.088</w:t>
            </w:r>
            <w:r>
              <w:br/>
            </w:r>
            <w:r>
              <w:rPr>
                <w:sz w:val="13"/>
              </w:rPr>
              <w:t>0.137</w:t>
            </w:r>
          </w:p>
        </w:tc>
        <w:tc>
          <w:tcPr>
            <w:tcW w:type="dxa" w:w="1304"/>
          </w:tcPr>
          <w:p>
            <w:pPr>
              <w:pStyle w:val="TableCell"/>
              <w:spacing w:before="0" w:after="0" w:line="240" w:lineRule="auto"/>
              <w:ind w:firstLine="0" w:left="0" w:right="0"/>
              <w:jc w:val="center"/>
            </w:pPr>
            <w:r>
              <w:rPr>
                <w:sz w:val="13"/>
              </w:rPr>
              <w:t>0.152</w:t>
            </w:r>
            <w:r>
              <w:br/>
            </w:r>
            <w:r>
              <w:rPr>
                <w:sz w:val="13"/>
              </w:rPr>
              <w:t>0.150</w:t>
            </w:r>
            <w:r>
              <w:br/>
            </w:r>
            <w:r>
              <w:rPr>
                <w:sz w:val="13"/>
              </w:rPr>
              <w:t>0.186</w:t>
            </w:r>
          </w:p>
        </w:tc>
        <w:tc>
          <w:tcPr>
            <w:tcW w:type="dxa" w:w="1304"/>
          </w:tcPr>
          <w:p>
            <w:pPr>
              <w:pStyle w:val="TableCell"/>
              <w:spacing w:before="0" w:after="0" w:line="240" w:lineRule="auto"/>
              <w:ind w:firstLine="0" w:left="0" w:right="0"/>
              <w:jc w:val="center"/>
            </w:pPr>
            <w:r>
              <w:rPr>
                <w:sz w:val="13"/>
              </w:rPr>
              <w:t>3.25</w:t>
            </w:r>
            <w:r>
              <w:br/>
            </w:r>
            <w:r>
              <w:rPr>
                <w:sz w:val="13"/>
              </w:rPr>
              <w:t>3.30</w:t>
            </w:r>
            <w:r>
              <w:br/>
            </w:r>
            <w:r>
              <w:rPr>
                <w:sz w:val="13"/>
              </w:rPr>
              <w:t>3.31</w:t>
            </w:r>
          </w:p>
        </w:tc>
      </w:tr>
      <w:tr>
        <w:tc>
          <w:tcPr>
            <w:tcW w:type="dxa" w:w="907"/>
          </w:tcPr>
          <w:p>
            <w:pPr>
              <w:pStyle w:val="TableCell"/>
              <w:spacing w:before="0" w:after="0" w:line="240" w:lineRule="auto"/>
              <w:ind w:firstLine="0" w:left="0" w:right="0"/>
              <w:jc w:val="left"/>
            </w:pPr>
            <w:r>
              <w:rPr>
                <w:sz w:val="13"/>
              </w:rPr>
              <w:t>ETS</w:t>
            </w:r>
          </w:p>
        </w:tc>
        <w:tc>
          <w:tcPr>
            <w:tcW w:type="dxa" w:w="1304"/>
          </w:tcPr>
          <w:p>
            <w:pPr>
              <w:pStyle w:val="TableCell"/>
              <w:spacing w:before="0" w:after="0" w:line="240" w:lineRule="auto"/>
              <w:ind w:firstLine="0" w:left="0" w:right="0"/>
              <w:jc w:val="center"/>
            </w:pPr>
            <w:r>
              <w:rPr>
                <w:sz w:val="13"/>
              </w:rPr>
              <w:t>0.084</w:t>
            </w:r>
            <w:r>
              <w:br/>
            </w:r>
            <w:r>
              <w:rPr>
                <w:sz w:val="13"/>
              </w:rPr>
              <w:t>0.089</w:t>
            </w:r>
            <w:r>
              <w:br/>
            </w:r>
            <w:r>
              <w:rPr>
                <w:sz w:val="13"/>
              </w:rPr>
              <w:t>0.095</w:t>
            </w:r>
          </w:p>
        </w:tc>
        <w:tc>
          <w:tcPr>
            <w:tcW w:type="dxa" w:w="1304"/>
          </w:tcPr>
          <w:p>
            <w:pPr>
              <w:pStyle w:val="TableCell"/>
              <w:spacing w:before="0" w:after="0" w:line="240" w:lineRule="auto"/>
              <w:ind w:firstLine="0" w:left="0" w:right="0"/>
              <w:jc w:val="center"/>
            </w:pPr>
            <w:r>
              <w:rPr>
                <w:sz w:val="13"/>
              </w:rPr>
              <w:t>0.153</w:t>
            </w:r>
            <w:r>
              <w:br/>
            </w:r>
            <w:r>
              <w:rPr>
                <w:sz w:val="13"/>
              </w:rPr>
              <w:t>0.152</w:t>
            </w:r>
            <w:r>
              <w:br/>
            </w:r>
            <w:r>
              <w:rPr>
                <w:sz w:val="13"/>
              </w:rPr>
              <w:t>0.150</w:t>
            </w:r>
          </w:p>
        </w:tc>
        <w:tc>
          <w:tcPr>
            <w:tcW w:type="dxa" w:w="1304"/>
          </w:tcPr>
          <w:p>
            <w:pPr>
              <w:pStyle w:val="TableCell"/>
              <w:spacing w:before="0" w:after="0" w:line="240" w:lineRule="auto"/>
              <w:ind w:firstLine="0" w:left="0" w:right="0"/>
              <w:jc w:val="center"/>
            </w:pPr>
            <w:r>
              <w:rPr>
                <w:sz w:val="13"/>
              </w:rPr>
              <w:t>4.12</w:t>
            </w:r>
            <w:r>
              <w:br/>
            </w:r>
            <w:r>
              <w:rPr>
                <w:sz w:val="13"/>
              </w:rPr>
              <w:t>4.09</w:t>
            </w:r>
            <w:r>
              <w:br/>
            </w:r>
            <w:r>
              <w:rPr>
                <w:sz w:val="13"/>
              </w:rPr>
              <w:t>4.12</w:t>
            </w:r>
          </w:p>
        </w:tc>
        <w:tc>
          <w:tcPr>
            <w:tcW w:type="dxa" w:w="1304"/>
          </w:tcPr>
          <w:p>
            <w:pPr>
              <w:pStyle w:val="TableCell"/>
              <w:spacing w:before="0" w:after="0" w:line="240" w:lineRule="auto"/>
              <w:ind w:firstLine="0" w:left="0" w:right="0"/>
              <w:jc w:val="center"/>
            </w:pPr>
            <w:r>
              <w:rPr>
                <w:sz w:val="13"/>
              </w:rPr>
              <w:t>0.129</w:t>
            </w:r>
            <w:r>
              <w:br/>
            </w:r>
            <w:r>
              <w:rPr>
                <w:sz w:val="13"/>
              </w:rPr>
              <w:t>0.092</w:t>
            </w:r>
            <w:r>
              <w:br/>
            </w:r>
            <w:r>
              <w:rPr>
                <w:sz w:val="13"/>
              </w:rPr>
              <w:t>0.136</w:t>
            </w:r>
          </w:p>
        </w:tc>
        <w:tc>
          <w:tcPr>
            <w:tcW w:type="dxa" w:w="1304"/>
          </w:tcPr>
          <w:p>
            <w:pPr>
              <w:pStyle w:val="TableCell"/>
              <w:spacing w:before="0" w:after="0" w:line="240" w:lineRule="auto"/>
              <w:ind w:firstLine="0" w:left="0" w:right="0"/>
              <w:jc w:val="center"/>
            </w:pPr>
            <w:r>
              <w:rPr>
                <w:sz w:val="13"/>
              </w:rPr>
              <w:t>0.174</w:t>
            </w:r>
            <w:r>
              <w:br/>
            </w:r>
            <w:r>
              <w:rPr>
                <w:sz w:val="13"/>
              </w:rPr>
              <w:t>0.173</w:t>
            </w:r>
            <w:r>
              <w:br/>
            </w:r>
            <w:r>
              <w:rPr>
                <w:sz w:val="13"/>
              </w:rPr>
              <w:t>0.198</w:t>
            </w:r>
          </w:p>
        </w:tc>
        <w:tc>
          <w:tcPr>
            <w:tcW w:type="dxa" w:w="1304"/>
          </w:tcPr>
          <w:p>
            <w:pPr>
              <w:pStyle w:val="TableCell"/>
              <w:spacing w:before="0" w:after="0" w:line="240" w:lineRule="auto"/>
              <w:ind w:firstLine="0" w:left="0" w:right="0"/>
              <w:jc w:val="center"/>
            </w:pPr>
            <w:r>
              <w:rPr>
                <w:sz w:val="13"/>
              </w:rPr>
              <w:t>4.50</w:t>
            </w:r>
            <w:r>
              <w:br/>
            </w:r>
            <w:r>
              <w:rPr>
                <w:sz w:val="13"/>
              </w:rPr>
              <w:t>4.54</w:t>
            </w:r>
            <w:r>
              <w:br/>
            </w:r>
            <w:r>
              <w:rPr>
                <w:sz w:val="13"/>
              </w:rPr>
              <w:t>4.28</w:t>
            </w:r>
          </w:p>
        </w:tc>
      </w:tr>
      <w:tr>
        <w:tc>
          <w:tcPr>
            <w:tcW w:type="dxa" w:w="907"/>
          </w:tcPr>
          <w:p>
            <w:pPr>
              <w:pStyle w:val="TableCell"/>
              <w:spacing w:before="0" w:after="0" w:line="240" w:lineRule="auto"/>
              <w:ind w:firstLine="0" w:left="0" w:right="0"/>
              <w:jc w:val="left"/>
            </w:pPr>
            <w:r>
              <w:rPr>
                <w:sz w:val="13"/>
              </w:rPr>
              <w:t>LGB-T</w:t>
            </w:r>
          </w:p>
        </w:tc>
        <w:tc>
          <w:tcPr>
            <w:tcW w:type="dxa" w:w="1304"/>
          </w:tcPr>
          <w:p>
            <w:pPr>
              <w:pStyle w:val="TableCell"/>
              <w:spacing w:before="0" w:after="0" w:line="240" w:lineRule="auto"/>
              <w:ind w:firstLine="0" w:left="0" w:right="0"/>
              <w:jc w:val="center"/>
            </w:pPr>
            <w:r>
              <w:rPr>
                <w:sz w:val="13"/>
              </w:rPr>
              <w:t>0.083</w:t>
            </w:r>
            <w:r>
              <w:br/>
            </w:r>
            <w:r>
              <w:rPr>
                <w:sz w:val="13"/>
              </w:rPr>
              <w:t>0.088</w:t>
            </w:r>
            <w:r>
              <w:br/>
            </w:r>
            <w:r>
              <w:rPr>
                <w:sz w:val="13"/>
              </w:rPr>
              <w:t>0.094</w:t>
            </w:r>
          </w:p>
        </w:tc>
        <w:tc>
          <w:tcPr>
            <w:tcW w:type="dxa" w:w="1304"/>
          </w:tcPr>
          <w:p>
            <w:pPr>
              <w:pStyle w:val="TableCell"/>
              <w:spacing w:before="0" w:after="0" w:line="240" w:lineRule="auto"/>
              <w:ind w:firstLine="0" w:left="0" w:right="0"/>
              <w:jc w:val="center"/>
            </w:pPr>
            <w:r>
              <w:rPr>
                <w:sz w:val="13"/>
              </w:rPr>
              <w:t>0.152</w:t>
            </w:r>
            <w:r>
              <w:br/>
            </w:r>
            <w:r>
              <w:rPr>
                <w:sz w:val="13"/>
              </w:rPr>
              <w:t>0.151</w:t>
            </w:r>
            <w:r>
              <w:br/>
            </w:r>
            <w:r>
              <w:rPr>
                <w:sz w:val="13"/>
              </w:rPr>
              <w:t>0.148</w:t>
            </w:r>
          </w:p>
        </w:tc>
        <w:tc>
          <w:tcPr>
            <w:tcW w:type="dxa" w:w="1304"/>
          </w:tcPr>
          <w:p>
            <w:pPr>
              <w:pStyle w:val="TableCell"/>
              <w:spacing w:before="0" w:after="0" w:line="240" w:lineRule="auto"/>
              <w:ind w:firstLine="0" w:left="0" w:right="0"/>
              <w:jc w:val="center"/>
            </w:pPr>
            <w:r>
              <w:rPr>
                <w:sz w:val="13"/>
              </w:rPr>
              <w:t>3.87</w:t>
            </w:r>
            <w:r>
              <w:br/>
            </w:r>
            <w:r>
              <w:rPr>
                <w:sz w:val="13"/>
              </w:rPr>
              <w:t>3.90</w:t>
            </w:r>
            <w:r>
              <w:br/>
            </w:r>
            <w:r>
              <w:rPr>
                <w:sz w:val="13"/>
              </w:rPr>
              <w:t>3.89</w:t>
            </w:r>
          </w:p>
        </w:tc>
        <w:tc>
          <w:tcPr>
            <w:tcW w:type="dxa" w:w="1304"/>
          </w:tcPr>
          <w:p>
            <w:pPr>
              <w:pStyle w:val="TableCell"/>
              <w:spacing w:before="0" w:after="0" w:line="240" w:lineRule="auto"/>
              <w:ind w:firstLine="0" w:left="0" w:right="0"/>
              <w:jc w:val="center"/>
            </w:pPr>
            <w:r>
              <w:rPr>
                <w:sz w:val="13"/>
              </w:rPr>
              <w:t>0.121</w:t>
            </w:r>
            <w:r>
              <w:br/>
            </w:r>
            <w:r>
              <w:rPr>
                <w:sz w:val="13"/>
              </w:rPr>
              <w:t>0.086</w:t>
            </w:r>
            <w:r>
              <w:br/>
            </w:r>
            <w:r>
              <w:rPr>
                <w:sz w:val="13"/>
              </w:rPr>
              <w:t>0.126</w:t>
            </w:r>
          </w:p>
        </w:tc>
        <w:tc>
          <w:tcPr>
            <w:tcW w:type="dxa" w:w="1304"/>
          </w:tcPr>
          <w:p>
            <w:pPr>
              <w:pStyle w:val="TableCell"/>
              <w:spacing w:before="0" w:after="0" w:line="240" w:lineRule="auto"/>
              <w:ind w:firstLine="0" w:left="0" w:right="0"/>
              <w:jc w:val="center"/>
            </w:pPr>
            <w:r>
              <w:rPr>
                <w:sz w:val="13"/>
              </w:rPr>
              <w:t>0.188</w:t>
            </w:r>
            <w:r>
              <w:br/>
            </w:r>
            <w:r>
              <w:rPr>
                <w:sz w:val="13"/>
              </w:rPr>
              <w:t>0.166</w:t>
            </w:r>
            <w:r>
              <w:br/>
            </w:r>
            <w:r>
              <w:rPr>
                <w:sz w:val="13"/>
              </w:rPr>
              <w:t>0.213</w:t>
            </w:r>
          </w:p>
        </w:tc>
        <w:tc>
          <w:tcPr>
            <w:tcW w:type="dxa" w:w="1304"/>
          </w:tcPr>
          <w:p>
            <w:pPr>
              <w:pStyle w:val="TableCell"/>
              <w:spacing w:before="0" w:after="0" w:line="240" w:lineRule="auto"/>
              <w:ind w:firstLine="0" w:left="0" w:right="0"/>
              <w:jc w:val="center"/>
            </w:pPr>
            <w:r>
              <w:rPr>
                <w:sz w:val="13"/>
              </w:rPr>
              <w:t>4.68</w:t>
            </w:r>
            <w:r>
              <w:br/>
            </w:r>
            <w:r>
              <w:rPr>
                <w:sz w:val="13"/>
              </w:rPr>
              <w:t>4.45</w:t>
            </w:r>
            <w:r>
              <w:br/>
            </w:r>
            <w:r>
              <w:rPr>
                <w:sz w:val="13"/>
              </w:rPr>
              <w:t>4.51</w:t>
            </w:r>
          </w:p>
        </w:tc>
      </w:tr>
      <w:tr>
        <w:tc>
          <w:tcPr>
            <w:tcW w:type="dxa" w:w="907"/>
          </w:tcPr>
          <w:p>
            <w:pPr>
              <w:pStyle w:val="TableCell"/>
              <w:spacing w:before="0" w:after="0" w:line="240" w:lineRule="auto"/>
              <w:ind w:firstLine="0" w:left="0" w:right="0"/>
              <w:jc w:val="left"/>
            </w:pPr>
            <w:r>
              <w:rPr>
                <w:sz w:val="13"/>
              </w:rPr>
              <w:t>LGB-C</w:t>
            </w:r>
          </w:p>
        </w:tc>
        <w:tc>
          <w:tcPr>
            <w:tcW w:type="dxa" w:w="1304"/>
          </w:tcPr>
          <w:p>
            <w:pPr>
              <w:pStyle w:val="TableCell"/>
              <w:spacing w:before="0" w:after="0" w:line="240" w:lineRule="auto"/>
              <w:ind w:firstLine="0" w:left="0" w:right="0"/>
              <w:jc w:val="center"/>
            </w:pPr>
            <w:r>
              <w:rPr>
                <w:sz w:val="13"/>
              </w:rPr>
              <w:t>0.086</w:t>
            </w:r>
            <w:r>
              <w:br/>
            </w:r>
            <w:r>
              <w:rPr>
                <w:sz w:val="13"/>
              </w:rPr>
              <w:t>0.091</w:t>
            </w:r>
            <w:r>
              <w:br/>
            </w:r>
            <w:r>
              <w:rPr>
                <w:sz w:val="13"/>
              </w:rPr>
              <w:t>0.096</w:t>
            </w:r>
          </w:p>
        </w:tc>
        <w:tc>
          <w:tcPr>
            <w:tcW w:type="dxa" w:w="1304"/>
          </w:tcPr>
          <w:p>
            <w:pPr>
              <w:pStyle w:val="TableCell"/>
              <w:spacing w:before="0" w:after="0" w:line="240" w:lineRule="auto"/>
              <w:ind w:firstLine="0" w:left="0" w:right="0"/>
              <w:jc w:val="center"/>
            </w:pPr>
            <w:r>
              <w:rPr>
                <w:sz w:val="13"/>
              </w:rPr>
              <w:t>0.159</w:t>
            </w:r>
            <w:r>
              <w:br/>
            </w:r>
            <w:r>
              <w:rPr>
                <w:sz w:val="13"/>
              </w:rPr>
              <w:t>0.160</w:t>
            </w:r>
            <w:r>
              <w:br/>
            </w:r>
            <w:r>
              <w:rPr>
                <w:sz w:val="13"/>
              </w:rPr>
              <w:t>0.155</w:t>
            </w:r>
          </w:p>
        </w:tc>
        <w:tc>
          <w:tcPr>
            <w:tcW w:type="dxa" w:w="1304"/>
          </w:tcPr>
          <w:p>
            <w:pPr>
              <w:pStyle w:val="TableCell"/>
              <w:spacing w:before="0" w:after="0" w:line="240" w:lineRule="auto"/>
              <w:ind w:firstLine="0" w:left="0" w:right="0"/>
              <w:jc w:val="center"/>
            </w:pPr>
            <w:r>
              <w:rPr>
                <w:sz w:val="13"/>
              </w:rPr>
              <w:t>4.50</w:t>
            </w:r>
            <w:r>
              <w:br/>
            </w:r>
            <w:r>
              <w:rPr>
                <w:sz w:val="13"/>
              </w:rPr>
              <w:t>4.60</w:t>
            </w:r>
            <w:r>
              <w:br/>
            </w:r>
            <w:r>
              <w:rPr>
                <w:sz w:val="13"/>
              </w:rPr>
              <w:t>4.48</w:t>
            </w:r>
          </w:p>
        </w:tc>
        <w:tc>
          <w:tcPr>
            <w:tcW w:type="dxa" w:w="1304"/>
          </w:tcPr>
          <w:p>
            <w:pPr>
              <w:pStyle w:val="TableCell"/>
              <w:spacing w:before="0" w:after="0" w:line="240" w:lineRule="auto"/>
              <w:ind w:firstLine="0" w:left="0" w:right="0"/>
              <w:jc w:val="center"/>
            </w:pPr>
            <w:r>
              <w:rPr>
                <w:sz w:val="13"/>
              </w:rPr>
              <w:t>0.120</w:t>
            </w:r>
            <w:r>
              <w:br/>
            </w:r>
            <w:r>
              <w:rPr>
                <w:sz w:val="13"/>
              </w:rPr>
              <w:t>0.091</w:t>
            </w:r>
            <w:r>
              <w:br/>
            </w:r>
            <w:r>
              <w:rPr>
                <w:sz w:val="13"/>
              </w:rPr>
              <w:t>0.125</w:t>
            </w:r>
          </w:p>
        </w:tc>
        <w:tc>
          <w:tcPr>
            <w:tcW w:type="dxa" w:w="1304"/>
          </w:tcPr>
          <w:p>
            <w:pPr>
              <w:pStyle w:val="TableCell"/>
              <w:spacing w:before="0" w:after="0" w:line="240" w:lineRule="auto"/>
              <w:ind w:firstLine="0" w:left="0" w:right="0"/>
              <w:jc w:val="center"/>
            </w:pPr>
            <w:r>
              <w:rPr>
                <w:sz w:val="13"/>
              </w:rPr>
              <w:t>0.184</w:t>
            </w:r>
            <w:r>
              <w:br/>
            </w:r>
            <w:r>
              <w:rPr>
                <w:sz w:val="13"/>
              </w:rPr>
              <w:t>0.173</w:t>
            </w:r>
            <w:r>
              <w:br/>
            </w:r>
            <w:r>
              <w:rPr>
                <w:sz w:val="13"/>
              </w:rPr>
              <w:t>0.231</w:t>
            </w:r>
          </w:p>
        </w:tc>
        <w:tc>
          <w:tcPr>
            <w:tcW w:type="dxa" w:w="1304"/>
          </w:tcPr>
          <w:p>
            <w:pPr>
              <w:pStyle w:val="TableCell"/>
              <w:spacing w:before="0" w:after="0" w:line="240" w:lineRule="auto"/>
              <w:ind w:firstLine="0" w:left="0" w:right="0"/>
              <w:jc w:val="center"/>
            </w:pPr>
            <w:r>
              <w:rPr>
                <w:sz w:val="13"/>
              </w:rPr>
              <w:t>4.43</w:t>
            </w:r>
            <w:r>
              <w:br/>
            </w:r>
            <w:r>
              <w:rPr>
                <w:sz w:val="13"/>
              </w:rPr>
              <w:t>4.48</w:t>
            </w:r>
            <w:r>
              <w:br/>
            </w:r>
            <w:r>
              <w:rPr>
                <w:sz w:val="13"/>
              </w:rPr>
              <w:t>4.65</w:t>
            </w:r>
          </w:p>
        </w:tc>
      </w:tr>
      <w:tr>
        <w:tc>
          <w:tcPr>
            <w:tcW w:type="dxa" w:w="907"/>
          </w:tcPr>
          <w:p>
            <w:pPr>
              <w:pStyle w:val="TableCell"/>
              <w:spacing w:before="0" w:after="0" w:line="240" w:lineRule="auto"/>
              <w:ind w:firstLine="0" w:left="0" w:right="0"/>
              <w:jc w:val="left"/>
            </w:pPr>
            <w:r>
              <w:rPr>
                <w:sz w:val="13"/>
              </w:rPr>
              <w:t>HGB-Q</w:t>
            </w:r>
          </w:p>
        </w:tc>
        <w:tc>
          <w:tcPr>
            <w:tcW w:type="dxa" w:w="1304"/>
          </w:tcPr>
          <w:p>
            <w:pPr>
              <w:pStyle w:val="TableCell"/>
              <w:spacing w:before="0" w:after="0" w:line="240" w:lineRule="auto"/>
              <w:ind w:firstLine="0" w:left="0" w:right="0"/>
              <w:jc w:val="center"/>
            </w:pPr>
            <w:r>
              <w:rPr>
                <w:sz w:val="13"/>
              </w:rPr>
              <w:t>0.077</w:t>
            </w:r>
            <w:r>
              <w:br/>
            </w:r>
            <w:r>
              <w:rPr>
                <w:sz w:val="13"/>
              </w:rPr>
              <w:t>0.081</w:t>
            </w:r>
            <w:r>
              <w:br/>
            </w:r>
            <w:r>
              <w:rPr>
                <w:sz w:val="13"/>
              </w:rPr>
              <w:t>0.087</w:t>
            </w:r>
          </w:p>
        </w:tc>
        <w:tc>
          <w:tcPr>
            <w:tcW w:type="dxa" w:w="1304"/>
          </w:tcPr>
          <w:p>
            <w:pPr>
              <w:pStyle w:val="TableCell"/>
              <w:spacing w:before="0" w:after="0" w:line="240" w:lineRule="auto"/>
              <w:ind w:firstLine="0" w:left="0" w:right="0"/>
              <w:jc w:val="center"/>
            </w:pPr>
            <w:r>
              <w:rPr>
                <w:sz w:val="13"/>
              </w:rPr>
              <w:t>0.146</w:t>
            </w:r>
            <w:r>
              <w:br/>
            </w:r>
            <w:r>
              <w:rPr>
                <w:sz w:val="13"/>
              </w:rPr>
              <w:t>0.145</w:t>
            </w:r>
            <w:r>
              <w:br/>
            </w:r>
            <w:r>
              <w:rPr>
                <w:sz w:val="13"/>
              </w:rPr>
              <w:t>0.142</w:t>
            </w:r>
          </w:p>
        </w:tc>
        <w:tc>
          <w:tcPr>
            <w:tcW w:type="dxa" w:w="1304"/>
          </w:tcPr>
          <w:p>
            <w:pPr>
              <w:pStyle w:val="TableCell"/>
              <w:spacing w:before="0" w:after="0" w:line="240" w:lineRule="auto"/>
              <w:ind w:firstLine="0" w:left="0" w:right="0"/>
              <w:jc w:val="center"/>
            </w:pPr>
            <w:r>
              <w:rPr>
                <w:sz w:val="13"/>
              </w:rPr>
              <w:t>3.35</w:t>
            </w:r>
            <w:r>
              <w:br/>
            </w:r>
            <w:r>
              <w:rPr>
                <w:sz w:val="13"/>
              </w:rPr>
              <w:t>3.38</w:t>
            </w:r>
            <w:r>
              <w:br/>
            </w:r>
            <w:r>
              <w:rPr>
                <w:sz w:val="13"/>
              </w:rPr>
              <w:t>3.29</w:t>
            </w:r>
          </w:p>
        </w:tc>
        <w:tc>
          <w:tcPr>
            <w:tcW w:type="dxa" w:w="1304"/>
          </w:tcPr>
          <w:p>
            <w:pPr>
              <w:pStyle w:val="TableCell"/>
              <w:spacing w:before="0" w:after="0" w:line="240" w:lineRule="auto"/>
              <w:ind w:firstLine="0" w:left="0" w:right="0"/>
              <w:jc w:val="center"/>
            </w:pPr>
            <w:r>
              <w:rPr>
                <w:sz w:val="13"/>
              </w:rPr>
              <w:t>0.104</w:t>
            </w:r>
            <w:r>
              <w:br/>
            </w:r>
            <w:r>
              <w:rPr>
                <w:sz w:val="13"/>
              </w:rPr>
              <w:t>0.079</w:t>
            </w:r>
            <w:r>
              <w:br/>
            </w:r>
            <w:r>
              <w:rPr>
                <w:sz w:val="13"/>
              </w:rPr>
              <w:t>0.104</w:t>
            </w:r>
          </w:p>
        </w:tc>
        <w:tc>
          <w:tcPr>
            <w:tcW w:type="dxa" w:w="1304"/>
          </w:tcPr>
          <w:p>
            <w:pPr>
              <w:pStyle w:val="TableCell"/>
              <w:spacing w:before="0" w:after="0" w:line="240" w:lineRule="auto"/>
              <w:ind w:firstLine="0" w:left="0" w:right="0"/>
              <w:jc w:val="center"/>
            </w:pPr>
            <w:r>
              <w:rPr>
                <w:sz w:val="13"/>
              </w:rPr>
              <w:t>0.153</w:t>
            </w:r>
            <w:r>
              <w:br/>
            </w:r>
            <w:r>
              <w:rPr>
                <w:sz w:val="13"/>
              </w:rPr>
              <w:t>0.140</w:t>
            </w:r>
            <w:r>
              <w:br/>
            </w:r>
            <w:r>
              <w:rPr>
                <w:sz w:val="13"/>
              </w:rPr>
              <w:t>0.184</w:t>
            </w:r>
          </w:p>
        </w:tc>
        <w:tc>
          <w:tcPr>
            <w:tcW w:type="dxa" w:w="1304"/>
          </w:tcPr>
          <w:p>
            <w:pPr>
              <w:pStyle w:val="TableCell"/>
              <w:spacing w:before="0" w:after="0" w:line="240" w:lineRule="auto"/>
              <w:ind w:firstLine="0" w:left="0" w:right="0"/>
              <w:jc w:val="center"/>
            </w:pPr>
            <w:r>
              <w:rPr>
                <w:sz w:val="13"/>
              </w:rPr>
              <w:t>3.23</w:t>
            </w:r>
            <w:r>
              <w:br/>
            </w:r>
            <w:r>
              <w:rPr>
                <w:sz w:val="13"/>
              </w:rPr>
              <w:t>3.19</w:t>
            </w:r>
            <w:r>
              <w:br/>
            </w:r>
            <w:r>
              <w:rPr>
                <w:sz w:val="13"/>
              </w:rPr>
              <w:t>3.20</w:t>
            </w:r>
          </w:p>
        </w:tc>
      </w:tr>
      <w:tr>
        <w:tc>
          <w:tcPr>
            <w:tcW w:type="dxa" w:w="907"/>
          </w:tcPr>
          <w:p>
            <w:pPr>
              <w:pStyle w:val="TableCell"/>
              <w:spacing w:before="0" w:after="0" w:line="240" w:lineRule="auto"/>
              <w:ind w:firstLine="0" w:left="0" w:right="0"/>
              <w:jc w:val="left"/>
            </w:pPr>
            <w:r>
              <w:rPr>
                <w:sz w:val="13"/>
              </w:rPr>
              <w:t>LGB-Q</w:t>
            </w:r>
          </w:p>
        </w:tc>
        <w:tc>
          <w:tcPr>
            <w:tcW w:type="dxa" w:w="1304"/>
          </w:tcPr>
          <w:p>
            <w:pPr>
              <w:pStyle w:val="TableCell"/>
              <w:spacing w:before="0" w:after="0" w:line="240" w:lineRule="auto"/>
              <w:ind w:firstLine="0" w:left="0" w:right="0"/>
              <w:jc w:val="center"/>
            </w:pPr>
            <w:r>
              <w:rPr>
                <w:sz w:val="13"/>
              </w:rPr>
              <w:t>0.076</w:t>
            </w:r>
            <w:r>
              <w:br/>
            </w:r>
            <w:r>
              <w:rPr>
                <w:sz w:val="13"/>
              </w:rPr>
              <w:t>0.080</w:t>
            </w:r>
            <w:r>
              <w:br/>
            </w:r>
            <w:r>
              <w:rPr>
                <w:sz w:val="13"/>
              </w:rPr>
              <w:t>0.086</w:t>
            </w:r>
          </w:p>
        </w:tc>
        <w:tc>
          <w:tcPr>
            <w:tcW w:type="dxa" w:w="1304"/>
          </w:tcPr>
          <w:p>
            <w:pPr>
              <w:pStyle w:val="TableCell"/>
              <w:spacing w:before="0" w:after="0" w:line="240" w:lineRule="auto"/>
              <w:ind w:firstLine="0" w:left="0" w:right="0"/>
              <w:jc w:val="center"/>
            </w:pPr>
            <w:r>
              <w:rPr>
                <w:sz w:val="13"/>
              </w:rPr>
              <w:t>0.145</w:t>
            </w:r>
            <w:r>
              <w:br/>
            </w:r>
            <w:r>
              <w:rPr>
                <w:sz w:val="13"/>
              </w:rPr>
              <w:t>0.144</w:t>
            </w:r>
            <w:r>
              <w:br/>
            </w:r>
            <w:r>
              <w:rPr>
                <w:sz w:val="13"/>
              </w:rPr>
              <w:t>0.142</w:t>
            </w:r>
          </w:p>
        </w:tc>
        <w:tc>
          <w:tcPr>
            <w:tcW w:type="dxa" w:w="1304"/>
          </w:tcPr>
          <w:p>
            <w:pPr>
              <w:pStyle w:val="TableCell"/>
              <w:spacing w:before="0" w:after="0" w:line="240" w:lineRule="auto"/>
              <w:ind w:firstLine="0" w:left="0" w:right="0"/>
              <w:jc w:val="center"/>
            </w:pPr>
            <w:r>
              <w:rPr>
                <w:sz w:val="13"/>
              </w:rPr>
              <w:t>3.10</w:t>
            </w:r>
            <w:r>
              <w:br/>
            </w:r>
            <w:r>
              <w:rPr>
                <w:sz w:val="13"/>
              </w:rPr>
              <w:t>3.17</w:t>
            </w:r>
            <w:r>
              <w:br/>
            </w:r>
            <w:r>
              <w:rPr>
                <w:sz w:val="13"/>
              </w:rPr>
              <w:t>3.15</w:t>
            </w:r>
          </w:p>
        </w:tc>
        <w:tc>
          <w:tcPr>
            <w:tcW w:type="dxa" w:w="1304"/>
          </w:tcPr>
          <w:p>
            <w:pPr>
              <w:pStyle w:val="TableCell"/>
              <w:spacing w:before="0" w:after="0" w:line="240" w:lineRule="auto"/>
              <w:ind w:firstLine="0" w:left="0" w:right="0"/>
              <w:jc w:val="center"/>
            </w:pPr>
            <w:r>
              <w:rPr>
                <w:sz w:val="13"/>
              </w:rPr>
              <w:t>0.103</w:t>
            </w:r>
            <w:r>
              <w:br/>
            </w:r>
            <w:r>
              <w:rPr>
                <w:sz w:val="13"/>
              </w:rPr>
              <w:t>0.078</w:t>
            </w:r>
            <w:r>
              <w:br/>
            </w:r>
            <w:r>
              <w:rPr>
                <w:sz w:val="13"/>
              </w:rPr>
              <w:t>0.102</w:t>
            </w:r>
          </w:p>
        </w:tc>
        <w:tc>
          <w:tcPr>
            <w:tcW w:type="dxa" w:w="1304"/>
          </w:tcPr>
          <w:p>
            <w:pPr>
              <w:pStyle w:val="TableCell"/>
              <w:spacing w:before="0" w:after="0" w:line="240" w:lineRule="auto"/>
              <w:ind w:firstLine="0" w:left="0" w:right="0"/>
              <w:jc w:val="center"/>
            </w:pPr>
            <w:r>
              <w:rPr>
                <w:sz w:val="13"/>
              </w:rPr>
              <w:t>0.152</w:t>
            </w:r>
            <w:r>
              <w:br/>
            </w:r>
            <w:r>
              <w:rPr>
                <w:sz w:val="13"/>
              </w:rPr>
              <w:t>0.140</w:t>
            </w:r>
            <w:r>
              <w:br/>
            </w:r>
            <w:r>
              <w:rPr>
                <w:sz w:val="13"/>
              </w:rPr>
              <w:t>0.184</w:t>
            </w:r>
          </w:p>
        </w:tc>
        <w:tc>
          <w:tcPr>
            <w:tcW w:type="dxa" w:w="1304"/>
          </w:tcPr>
          <w:p>
            <w:pPr>
              <w:pStyle w:val="TableCell"/>
              <w:spacing w:before="0" w:after="0" w:line="240" w:lineRule="auto"/>
              <w:ind w:firstLine="0" w:left="0" w:right="0"/>
              <w:jc w:val="center"/>
            </w:pPr>
            <w:r>
              <w:rPr>
                <w:sz w:val="13"/>
              </w:rPr>
              <w:t>3.18</w:t>
            </w:r>
            <w:r>
              <w:br/>
            </w:r>
            <w:r>
              <w:rPr>
                <w:sz w:val="13"/>
              </w:rPr>
              <w:t>3.13</w:t>
            </w:r>
            <w:r>
              <w:br/>
            </w:r>
            <w:r>
              <w:rPr>
                <w:sz w:val="13"/>
              </w:rPr>
              <w:t>3.14</w:t>
            </w:r>
          </w:p>
        </w:tc>
      </w:tr>
    </w:tbl>
    <w:p>
      <w:pPr>
        <w:pStyle w:val="TableFootnote"/>
      </w:pPr>
      <w:r>
        <w:rPr>
          <w:sz w:val="14"/>
        </w:rPr>
        <w:t>CD (α = 0.05): M5 0.052 / 0.052 / 0.053; VN1 0.077 / 0.084 / 0.093.</w:t>
      </w:r>
    </w:p>
    <w:p>
      <w:pPr>
        <w:pStyle w:val="TableFootnote"/>
      </w:pPr>
      <w:r>
        <w:rPr>
          <w:sz w:val="14"/>
        </w:rPr>
        <w:t>Mean per-series rank at h = 13 (main / second / third): M5: LGB-Q 3.45 / 3.43 / 3.50, HGB-Q 3.38 / 3.45 / 3.50, TSB-NB 4.16 / 4.04 / 4.05; VN1: LGB-Q 4.02 / 3.48 / 3.85, HGB-Q 3.85 / 3.46 / 3.57, TSB-NB 2.92 / 2.99 / 3.37.</w:t>
      </w:r>
    </w:p>
    <w:p>
      <w:pPr>
        <w:pStyle w:val="Para"/>
      </w:pPr>
      <w:r>
        <w:t>By volume-weighted loss, LGB-Q is the most accurate method in both datasets and all three windows, with HGB-Q within 0.002 (Table 2). It is also the best method in every demand class of both datasets and every window. On M5, per-series ranks agree: LGB-Q ranks first at h = 3 in every window, ahead of HGB-Q by more than the critical difference.</w:t>
      </w:r>
    </w:p>
    <w:p>
      <w:pPr>
        <w:pStyle w:val="Para"/>
      </w:pPr>
      <w:r>
        <w:t>On VN1 the per-series view differs. At h = 3, LGB-Q, HGB-Q and TSB-NB are within 0.17 mean ranks, and LGB-Q and HGB-Q differ by less than the critical difference. At h = 13, TSB-NB ranks first in all three windows. The global models are thus not more accurate than TSB-NB for a typical VN1 series; their advantage in total loss comes from avoiding rare, very large errors. The mean scaled loss hides this: for LGB-Q on VN1 it is 0.336, 0.539 and 2.008 in the three windows, driven by a few series with a tiny naive error, whereas wQL is 0.103, 0.078 and 0.102.</w:t>
      </w:r>
    </w:p>
    <w:p>
      <w:pPr>
        <w:pStyle w:val="Head2"/>
      </w:pPr>
      <w:r>
        <w:t>Inventory at equal fill rate</w:t>
      </w:r>
    </w:p>
    <w:p>
      <w:pPr>
        <w:pStyle w:val="PostHeadPara"/>
      </w:pPr>
      <w:r>
        <w:rPr>
          <w:b/>
        </w:rPr>
        <w:t>M5.</w:t>
      </w:r>
      <w:r>
        <w:t xml:space="preserve"> LGB-Q has the best frontier rank in every resample of every window. At a fill rate of 0.94 it needs 3.3–10.6% less inventory than LGB-T, LGB-C, TSB-NB and ETS, and every interval excludes zero (Table 3). HGB-Q is within 0.2–1.4%.</w:t>
      </w:r>
    </w:p>
    <w:p>
      <w:pPr>
        <w:pStyle w:val="Para"/>
      </w:pPr>
      <w:r>
        <w:rPr>
          <w:b/>
        </w:rPr>
        <w:t>VN1.</w:t>
      </w:r>
      <w:r>
        <w:t xml:space="preserve"> The answer depends on the window. In the main window LGB-Q has the best frontier rank, but its lead over LGB-T, LGB-C and TSB-NB at a fill rate of 0.94 is not significant. In the second window TSB-NB leads, and TSB-NB, LGB-T and LGB-C need 4.1–8.8% less inventory than LGB-Q. In the third window LGB-Q leads again, and TSB-NB, ETS and LGB-T cannot reach a fill rate of 0.94 at any τ. The lowest loss (LGB-Q in every window) does not reliably give the lowest inventory.</w:t>
      </w:r>
    </w:p>
    <w:p>
      <w:pPr>
        <w:pStyle w:val="Image"/>
        <w:jc w:val="center"/>
      </w:pPr>
      <w:r>
        <w:drawing>
          <wp:inline xmlns:a="http://schemas.openxmlformats.org/drawingml/2006/main" xmlns:pic="http://schemas.openxmlformats.org/drawingml/2006/picture">
            <wp:extent cx="5400000" cy="2250000"/>
            <wp:docPr id="1" name="Picture 1"/>
            <wp:cNvGraphicFramePr>
              <a:graphicFrameLocks noChangeAspect="1"/>
            </wp:cNvGraphicFramePr>
            <a:graphic>
              <a:graphicData uri="http://schemas.openxmlformats.org/drawingml/2006/picture">
                <pic:pic>
                  <pic:nvPicPr>
                    <pic:cNvPr id="0" name="fig1_tradeoff.png"/>
                    <pic:cNvPicPr/>
                  </pic:nvPicPr>
                  <pic:blipFill>
                    <a:blip r:embed="rId25"/>
                    <a:stretch>
                      <a:fillRect/>
                    </a:stretch>
                  </pic:blipFill>
                  <pic:spPr>
                    <a:xfrm>
                      <a:off x="0" y="0"/>
                      <a:ext cx="5400000" cy="2250000"/>
                    </a:xfrm>
                    <a:prstGeom prst="rect"/>
                  </pic:spPr>
                </pic:pic>
              </a:graphicData>
            </a:graphic>
          </wp:inline>
        </w:drawing>
      </w:r>
    </w:p>
    <w:p>
      <w:pPr>
        <w:pStyle w:val="FigureCaption"/>
      </w:pPr>
      <w:r>
        <w:t>Figure 1: Inventory (weeks of demand) against fill rate as the target service level τ varies from 0.5 to 0.99, main test window: (a) M5, (b) VN1. Curves further up and to the left are better. Solid lines: direct quantile models.</w:t>
      </w:r>
    </w:p>
    <w:p>
      <w:pPr>
        <w:pStyle w:val="TableCaption"/>
      </w:pPr>
      <w:r>
        <w:t>Table 3: Inventory (weeks of demand) needed for a fill rate of 0.94, all series, with 95% bootstrap CIs over series. Frontier rank = mean rank of the inventory needed over fill targets 0.90–0.98 among seven methods; P(best) = share of resamples in which LGB-Q has the best frontier rank. Δ = I_method / I_LGB-Q − 1 in % (positive = LGB-Q needs less); “—” = fill rate 0.94 not reached.</w:t>
      </w:r>
    </w:p>
    <w:tbl>
      <w:tblPr>
        <w:tblStyle w:val="affff1"/>
        <w:tblW w:type="auto" w:w="0"/>
        <w:jc w:val="center"/>
        <w:tblLayout w:type="fixed"/>
        <w:tblLook w:firstColumn="1" w:firstRow="1" w:lastColumn="0" w:lastRow="0" w:noHBand="0" w:noVBand="1" w:val="04A0"/>
        <w:tblCellMar>
          <w:left w:w="40" w:type="dxa"/>
          <w:right w:w="40" w:type="dxa"/>
        </w:tblCellMar>
      </w:tblPr>
      <w:tblGrid>
        <w:gridCol w:w="876"/>
        <w:gridCol w:w="876"/>
        <w:gridCol w:w="876"/>
        <w:gridCol w:w="876"/>
        <w:gridCol w:w="876"/>
        <w:gridCol w:w="876"/>
        <w:gridCol w:w="876"/>
        <w:gridCol w:w="876"/>
        <w:gridCol w:w="876"/>
        <w:gridCol w:w="876"/>
      </w:tblGrid>
      <w:tr>
        <w:tc>
          <w:tcPr>
            <w:tcW w:type="dxa" w:w="737"/>
          </w:tcPr>
          <w:p>
            <w:pPr>
              <w:pStyle w:val="TableCell"/>
              <w:spacing w:before="0" w:after="0" w:line="240" w:lineRule="auto"/>
              <w:ind w:firstLine="0" w:left="0" w:right="0"/>
              <w:jc w:val="left"/>
            </w:pPr>
            <w:r>
              <w:rPr>
                <w:b/>
                <w:sz w:val="13"/>
              </w:rPr>
              <w:t>Dataset</w:t>
            </w:r>
          </w:p>
        </w:tc>
        <w:tc>
          <w:tcPr>
            <w:tcW w:type="dxa" w:w="737"/>
          </w:tcPr>
          <w:p>
            <w:pPr>
              <w:pStyle w:val="TableCell"/>
              <w:spacing w:before="0" w:after="0" w:line="240" w:lineRule="auto"/>
              <w:ind w:firstLine="0" w:left="0" w:right="0"/>
              <w:jc w:val="center"/>
            </w:pPr>
            <w:r>
              <w:rPr>
                <w:b/>
                <w:sz w:val="13"/>
              </w:rPr>
              <w:t>Window</w:t>
            </w:r>
          </w:p>
        </w:tc>
        <w:tc>
          <w:tcPr>
            <w:tcW w:type="dxa" w:w="1077"/>
          </w:tcPr>
          <w:p>
            <w:pPr>
              <w:pStyle w:val="TableCell"/>
              <w:spacing w:before="0" w:after="0" w:line="240" w:lineRule="auto"/>
              <w:ind w:firstLine="0" w:left="0" w:right="0"/>
              <w:jc w:val="center"/>
            </w:pPr>
            <w:r>
              <w:rPr>
                <w:b/>
                <w:sz w:val="13"/>
              </w:rPr>
              <w:t>LGB-Q inventory</w:t>
            </w:r>
          </w:p>
        </w:tc>
        <w:tc>
          <w:tcPr>
            <w:tcW w:type="dxa" w:w="737"/>
          </w:tcPr>
          <w:p>
            <w:pPr>
              <w:pStyle w:val="TableCell"/>
              <w:spacing w:before="0" w:after="0" w:line="240" w:lineRule="auto"/>
              <w:ind w:firstLine="0" w:left="0" w:right="0"/>
              <w:jc w:val="center"/>
            </w:pPr>
            <w:r>
              <w:rPr>
                <w:b/>
                <w:sz w:val="13"/>
              </w:rPr>
              <w:t>Frontier rank</w:t>
            </w:r>
          </w:p>
        </w:tc>
        <w:tc>
          <w:tcPr>
            <w:tcW w:type="dxa" w:w="624"/>
          </w:tcPr>
          <w:p>
            <w:pPr>
              <w:pStyle w:val="TableCell"/>
              <w:spacing w:before="0" w:after="0" w:line="240" w:lineRule="auto"/>
              <w:ind w:firstLine="0" w:left="0" w:right="0"/>
              <w:jc w:val="center"/>
            </w:pPr>
            <w:r>
              <w:rPr>
                <w:b/>
                <w:sz w:val="13"/>
              </w:rPr>
              <w:t>P(best)</w:t>
            </w:r>
          </w:p>
        </w:tc>
        <w:tc>
          <w:tcPr>
            <w:tcW w:type="dxa" w:w="964"/>
          </w:tcPr>
          <w:p>
            <w:pPr>
              <w:pStyle w:val="TableCell"/>
              <w:spacing w:before="0" w:after="0" w:line="240" w:lineRule="auto"/>
              <w:ind w:firstLine="0" w:left="0" w:right="0"/>
              <w:jc w:val="center"/>
            </w:pPr>
            <w:r>
              <w:rPr>
                <w:b/>
                <w:sz w:val="13"/>
              </w:rPr>
              <w:t>HGB-Q Δ</w:t>
            </w:r>
          </w:p>
        </w:tc>
        <w:tc>
          <w:tcPr>
            <w:tcW w:type="dxa" w:w="964"/>
          </w:tcPr>
          <w:p>
            <w:pPr>
              <w:pStyle w:val="TableCell"/>
              <w:spacing w:before="0" w:after="0" w:line="240" w:lineRule="auto"/>
              <w:ind w:firstLine="0" w:left="0" w:right="0"/>
              <w:jc w:val="center"/>
            </w:pPr>
            <w:r>
              <w:rPr>
                <w:b/>
                <w:sz w:val="13"/>
              </w:rPr>
              <w:t>LGB-T Δ</w:t>
            </w:r>
          </w:p>
        </w:tc>
        <w:tc>
          <w:tcPr>
            <w:tcW w:type="dxa" w:w="964"/>
          </w:tcPr>
          <w:p>
            <w:pPr>
              <w:pStyle w:val="TableCell"/>
              <w:spacing w:before="0" w:after="0" w:line="240" w:lineRule="auto"/>
              <w:ind w:firstLine="0" w:left="0" w:right="0"/>
              <w:jc w:val="center"/>
            </w:pPr>
            <w:r>
              <w:rPr>
                <w:b/>
                <w:sz w:val="13"/>
              </w:rPr>
              <w:t>LGB-C Δ</w:t>
            </w:r>
          </w:p>
        </w:tc>
        <w:tc>
          <w:tcPr>
            <w:tcW w:type="dxa" w:w="964"/>
          </w:tcPr>
          <w:p>
            <w:pPr>
              <w:pStyle w:val="TableCell"/>
              <w:spacing w:before="0" w:after="0" w:line="240" w:lineRule="auto"/>
              <w:ind w:firstLine="0" w:left="0" w:right="0"/>
              <w:jc w:val="center"/>
            </w:pPr>
            <w:r>
              <w:rPr>
                <w:b/>
                <w:sz w:val="13"/>
              </w:rPr>
              <w:t>TSB-NB Δ</w:t>
            </w:r>
          </w:p>
        </w:tc>
        <w:tc>
          <w:tcPr>
            <w:tcW w:type="dxa" w:w="964"/>
          </w:tcPr>
          <w:p>
            <w:pPr>
              <w:pStyle w:val="TableCell"/>
              <w:spacing w:before="0" w:after="0" w:line="240" w:lineRule="auto"/>
              <w:ind w:firstLine="0" w:left="0" w:right="0"/>
              <w:jc w:val="center"/>
            </w:pPr>
            <w:r>
              <w:rPr>
                <w:b/>
                <w:sz w:val="13"/>
              </w:rPr>
              <w:t>ETS Δ</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main</w:t>
            </w:r>
          </w:p>
        </w:tc>
        <w:tc>
          <w:tcPr>
            <w:tcW w:type="dxa" w:w="1077"/>
          </w:tcPr>
          <w:p>
            <w:pPr>
              <w:pStyle w:val="TableCell"/>
              <w:spacing w:before="0" w:after="0" w:line="240" w:lineRule="auto"/>
              <w:ind w:firstLine="0" w:left="0" w:right="0"/>
              <w:jc w:val="center"/>
            </w:pPr>
            <w:r>
              <w:rPr>
                <w:sz w:val="13"/>
              </w:rPr>
              <w:t>1.38</w:t>
            </w:r>
            <w:r>
              <w:br/>
            </w:r>
            <w:r>
              <w:rPr>
                <w:sz w:val="13"/>
              </w:rPr>
              <w:t>[1.34, 1.41]</w:t>
            </w:r>
          </w:p>
        </w:tc>
        <w:tc>
          <w:tcPr>
            <w:tcW w:type="dxa" w:w="737"/>
          </w:tcPr>
          <w:p>
            <w:pPr>
              <w:pStyle w:val="TableCell"/>
              <w:spacing w:before="0" w:after="0" w:line="240" w:lineRule="auto"/>
              <w:ind w:firstLine="0" w:left="0" w:right="0"/>
              <w:jc w:val="center"/>
            </w:pPr>
            <w:r>
              <w:rPr>
                <w:sz w:val="13"/>
              </w:rPr>
              <w:t>1.00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+1.2</w:t>
            </w:r>
            <w:r>
              <w:br/>
            </w:r>
            <w:r>
              <w:rPr>
                <w:sz w:val="13"/>
              </w:rPr>
              <w:t>[+0.9, +1.6]</w:t>
            </w:r>
          </w:p>
        </w:tc>
        <w:tc>
          <w:tcPr>
            <w:tcW w:type="dxa" w:w="964"/>
          </w:tcPr>
          <w:p>
            <w:pPr>
              <w:pStyle w:val="TableCell"/>
              <w:spacing w:before="0" w:after="0" w:line="240" w:lineRule="auto"/>
              <w:ind w:firstLine="0" w:left="0" w:right="0"/>
              <w:jc w:val="center"/>
            </w:pPr>
            <w:r>
              <w:rPr>
                <w:sz w:val="13"/>
              </w:rPr>
              <w:t>+5.1</w:t>
            </w:r>
            <w:r>
              <w:br/>
            </w:r>
            <w:r>
              <w:rPr>
                <w:sz w:val="13"/>
              </w:rPr>
              <w:t>[+4.4, +5.9]</w:t>
            </w:r>
          </w:p>
        </w:tc>
        <w:tc>
          <w:tcPr>
            <w:tcW w:type="dxa" w:w="964"/>
          </w:tcPr>
          <w:p>
            <w:pPr>
              <w:pStyle w:val="TableCell"/>
              <w:spacing w:before="0" w:after="0" w:line="240" w:lineRule="auto"/>
              <w:ind w:firstLine="0" w:left="0" w:right="0"/>
              <w:jc w:val="center"/>
            </w:pPr>
            <w:r>
              <w:rPr>
                <w:sz w:val="13"/>
              </w:rPr>
              <w:t>+4.5</w:t>
            </w:r>
            <w:r>
              <w:br/>
            </w:r>
            <w:r>
              <w:rPr>
                <w:sz w:val="13"/>
              </w:rPr>
              <w:t>[+3.2, +5.8]</w:t>
            </w:r>
          </w:p>
        </w:tc>
        <w:tc>
          <w:tcPr>
            <w:tcW w:type="dxa" w:w="964"/>
          </w:tcPr>
          <w:p>
            <w:pPr>
              <w:pStyle w:val="TableCell"/>
              <w:spacing w:before="0" w:after="0" w:line="240" w:lineRule="auto"/>
              <w:ind w:firstLine="0" w:left="0" w:right="0"/>
              <w:jc w:val="center"/>
            </w:pPr>
            <w:r>
              <w:rPr>
                <w:sz w:val="13"/>
              </w:rPr>
              <w:t>+10.0</w:t>
            </w:r>
            <w:r>
              <w:br/>
            </w:r>
            <w:r>
              <w:rPr>
                <w:sz w:val="13"/>
              </w:rPr>
              <w:t>[+9.1, +11.0]</w:t>
            </w:r>
          </w:p>
        </w:tc>
        <w:tc>
          <w:tcPr>
            <w:tcW w:type="dxa" w:w="964"/>
          </w:tcPr>
          <w:p>
            <w:pPr>
              <w:pStyle w:val="TableCell"/>
              <w:spacing w:before="0" w:after="0" w:line="240" w:lineRule="auto"/>
              <w:ind w:firstLine="0" w:left="0" w:right="0"/>
              <w:jc w:val="center"/>
            </w:pPr>
            <w:r>
              <w:rPr>
                <w:sz w:val="13"/>
              </w:rPr>
              <w:t>+10.6</w:t>
            </w:r>
            <w:r>
              <w:br/>
            </w:r>
            <w:r>
              <w:rPr>
                <w:sz w:val="13"/>
              </w:rPr>
              <w:t>[+9.8, +11.5]</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second</w:t>
            </w:r>
          </w:p>
        </w:tc>
        <w:tc>
          <w:tcPr>
            <w:tcW w:type="dxa" w:w="1077"/>
          </w:tcPr>
          <w:p>
            <w:pPr>
              <w:pStyle w:val="TableCell"/>
              <w:spacing w:before="0" w:after="0" w:line="240" w:lineRule="auto"/>
              <w:ind w:firstLine="0" w:left="0" w:right="0"/>
              <w:jc w:val="center"/>
            </w:pPr>
            <w:r>
              <w:rPr>
                <w:sz w:val="13"/>
              </w:rPr>
              <w:t>1.49</w:t>
            </w:r>
            <w:r>
              <w:br/>
            </w:r>
            <w:r>
              <w:rPr>
                <w:sz w:val="13"/>
              </w:rPr>
              <w:t>[1.45, 1.53]</w:t>
            </w:r>
          </w:p>
        </w:tc>
        <w:tc>
          <w:tcPr>
            <w:tcW w:type="dxa" w:w="737"/>
          </w:tcPr>
          <w:p>
            <w:pPr>
              <w:pStyle w:val="TableCell"/>
              <w:spacing w:before="0" w:after="0" w:line="240" w:lineRule="auto"/>
              <w:ind w:firstLine="0" w:left="0" w:right="0"/>
              <w:jc w:val="center"/>
            </w:pPr>
            <w:r>
              <w:rPr>
                <w:sz w:val="13"/>
              </w:rPr>
              <w:t>1.20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+1.4</w:t>
            </w:r>
            <w:r>
              <w:br/>
            </w:r>
            <w:r>
              <w:rPr>
                <w:sz w:val="13"/>
              </w:rPr>
              <w:t>[+1.2, +1.7]</w:t>
            </w:r>
          </w:p>
        </w:tc>
        <w:tc>
          <w:tcPr>
            <w:tcW w:type="dxa" w:w="964"/>
          </w:tcPr>
          <w:p>
            <w:pPr>
              <w:pStyle w:val="TableCell"/>
              <w:spacing w:before="0" w:after="0" w:line="240" w:lineRule="auto"/>
              <w:ind w:firstLine="0" w:left="0" w:right="0"/>
              <w:jc w:val="center"/>
            </w:pPr>
            <w:r>
              <w:rPr>
                <w:sz w:val="13"/>
              </w:rPr>
              <w:t>+6.8</w:t>
            </w:r>
            <w:r>
              <w:br/>
            </w:r>
            <w:r>
              <w:rPr>
                <w:sz w:val="13"/>
              </w:rPr>
              <w:t>[+6.2, +7.6]</w:t>
            </w:r>
          </w:p>
        </w:tc>
        <w:tc>
          <w:tcPr>
            <w:tcW w:type="dxa" w:w="964"/>
          </w:tcPr>
          <w:p>
            <w:pPr>
              <w:pStyle w:val="TableCell"/>
              <w:spacing w:before="0" w:after="0" w:line="240" w:lineRule="auto"/>
              <w:ind w:firstLine="0" w:left="0" w:right="0"/>
              <w:jc w:val="center"/>
            </w:pPr>
            <w:r>
              <w:rPr>
                <w:sz w:val="13"/>
              </w:rPr>
              <w:t>+8.2</w:t>
            </w:r>
            <w:r>
              <w:br/>
            </w:r>
            <w:r>
              <w:rPr>
                <w:sz w:val="13"/>
              </w:rPr>
              <w:t>[+6.8, +9.3]</w:t>
            </w:r>
          </w:p>
        </w:tc>
        <w:tc>
          <w:tcPr>
            <w:tcW w:type="dxa" w:w="964"/>
          </w:tcPr>
          <w:p>
            <w:pPr>
              <w:pStyle w:val="TableCell"/>
              <w:spacing w:before="0" w:after="0" w:line="240" w:lineRule="auto"/>
              <w:ind w:firstLine="0" w:left="0" w:right="0"/>
              <w:jc w:val="center"/>
            </w:pPr>
            <w:r>
              <w:rPr>
                <w:sz w:val="13"/>
              </w:rPr>
              <w:t>+7.5</w:t>
            </w:r>
            <w:r>
              <w:br/>
            </w:r>
            <w:r>
              <w:rPr>
                <w:sz w:val="13"/>
              </w:rPr>
              <w:t>[+6.7, +8.3]</w:t>
            </w:r>
          </w:p>
        </w:tc>
        <w:tc>
          <w:tcPr>
            <w:tcW w:type="dxa" w:w="964"/>
          </w:tcPr>
          <w:p>
            <w:pPr>
              <w:pStyle w:val="TableCell"/>
              <w:spacing w:before="0" w:after="0" w:line="240" w:lineRule="auto"/>
              <w:ind w:firstLine="0" w:left="0" w:right="0"/>
              <w:jc w:val="center"/>
            </w:pPr>
            <w:r>
              <w:rPr>
                <w:sz w:val="13"/>
              </w:rPr>
              <w:t>+8.0</w:t>
            </w:r>
            <w:r>
              <w:br/>
            </w:r>
            <w:r>
              <w:rPr>
                <w:sz w:val="13"/>
              </w:rPr>
              <w:t>[+7.1, +8.9]</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third</w:t>
            </w:r>
          </w:p>
        </w:tc>
        <w:tc>
          <w:tcPr>
            <w:tcW w:type="dxa" w:w="1077"/>
          </w:tcPr>
          <w:p>
            <w:pPr>
              <w:pStyle w:val="TableCell"/>
              <w:spacing w:before="0" w:after="0" w:line="240" w:lineRule="auto"/>
              <w:ind w:firstLine="0" w:left="0" w:right="0"/>
              <w:jc w:val="center"/>
            </w:pPr>
            <w:r>
              <w:rPr>
                <w:sz w:val="13"/>
              </w:rPr>
              <w:t>1.74</w:t>
            </w:r>
            <w:r>
              <w:br/>
            </w:r>
            <w:r>
              <w:rPr>
                <w:sz w:val="13"/>
              </w:rPr>
              <w:t>[1.69, 1.78]</w:t>
            </w:r>
          </w:p>
        </w:tc>
        <w:tc>
          <w:tcPr>
            <w:tcW w:type="dxa" w:w="737"/>
          </w:tcPr>
          <w:p>
            <w:pPr>
              <w:pStyle w:val="TableCell"/>
              <w:spacing w:before="0" w:after="0" w:line="240" w:lineRule="auto"/>
              <w:ind w:firstLine="0" w:left="0" w:right="0"/>
              <w:jc w:val="center"/>
            </w:pPr>
            <w:r>
              <w:rPr>
                <w:sz w:val="13"/>
              </w:rPr>
              <w:t>1.00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+0.2</w:t>
            </w:r>
            <w:r>
              <w:br/>
            </w:r>
            <w:r>
              <w:rPr>
                <w:sz w:val="13"/>
              </w:rPr>
              <w:t>[-0.2, +0.5]</w:t>
            </w:r>
          </w:p>
        </w:tc>
        <w:tc>
          <w:tcPr>
            <w:tcW w:type="dxa" w:w="964"/>
          </w:tcPr>
          <w:p>
            <w:pPr>
              <w:pStyle w:val="TableCell"/>
              <w:spacing w:before="0" w:after="0" w:line="240" w:lineRule="auto"/>
              <w:ind w:firstLine="0" w:left="0" w:right="0"/>
              <w:jc w:val="center"/>
            </w:pPr>
            <w:r>
              <w:rPr>
                <w:sz w:val="13"/>
              </w:rPr>
              <w:t>+3.3</w:t>
            </w:r>
            <w:r>
              <w:br/>
            </w:r>
            <w:r>
              <w:rPr>
                <w:sz w:val="13"/>
              </w:rPr>
              <w:t>[+2.7, +4.0]</w:t>
            </w:r>
          </w:p>
        </w:tc>
        <w:tc>
          <w:tcPr>
            <w:tcW w:type="dxa" w:w="964"/>
          </w:tcPr>
          <w:p>
            <w:pPr>
              <w:pStyle w:val="TableCell"/>
              <w:spacing w:before="0" w:after="0" w:line="240" w:lineRule="auto"/>
              <w:ind w:firstLine="0" w:left="0" w:right="0"/>
              <w:jc w:val="center"/>
            </w:pPr>
            <w:r>
              <w:rPr>
                <w:sz w:val="13"/>
              </w:rPr>
              <w:t>+7.5</w:t>
            </w:r>
            <w:r>
              <w:br/>
            </w:r>
            <w:r>
              <w:rPr>
                <w:sz w:val="13"/>
              </w:rPr>
              <w:t>[+6.3, +8.4]</w:t>
            </w:r>
          </w:p>
        </w:tc>
        <w:tc>
          <w:tcPr>
            <w:tcW w:type="dxa" w:w="964"/>
          </w:tcPr>
          <w:p>
            <w:pPr>
              <w:pStyle w:val="TableCell"/>
              <w:spacing w:before="0" w:after="0" w:line="240" w:lineRule="auto"/>
              <w:ind w:firstLine="0" w:left="0" w:right="0"/>
              <w:jc w:val="center"/>
            </w:pPr>
            <w:r>
              <w:rPr>
                <w:sz w:val="13"/>
              </w:rPr>
              <w:t>+4.9</w:t>
            </w:r>
            <w:r>
              <w:br/>
            </w:r>
            <w:r>
              <w:rPr>
                <w:sz w:val="13"/>
              </w:rPr>
              <w:t>[+4.2, +5.7]</w:t>
            </w:r>
          </w:p>
        </w:tc>
        <w:tc>
          <w:tcPr>
            <w:tcW w:type="dxa" w:w="964"/>
          </w:tcPr>
          <w:p>
            <w:pPr>
              <w:pStyle w:val="TableCell"/>
              <w:spacing w:before="0" w:after="0" w:line="240" w:lineRule="auto"/>
              <w:ind w:firstLine="0" w:left="0" w:right="0"/>
              <w:jc w:val="center"/>
            </w:pPr>
            <w:r>
              <w:rPr>
                <w:sz w:val="13"/>
              </w:rPr>
              <w:t>+5.9</w:t>
            </w:r>
            <w:r>
              <w:br/>
            </w:r>
            <w:r>
              <w:rPr>
                <w:sz w:val="13"/>
              </w:rPr>
              <w:t>[+5.0, +6.6]</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main</w:t>
            </w:r>
          </w:p>
        </w:tc>
        <w:tc>
          <w:tcPr>
            <w:tcW w:type="dxa" w:w="1077"/>
          </w:tcPr>
          <w:p>
            <w:pPr>
              <w:pStyle w:val="TableCell"/>
              <w:spacing w:before="0" w:after="0" w:line="240" w:lineRule="auto"/>
              <w:ind w:firstLine="0" w:left="0" w:right="0"/>
              <w:jc w:val="center"/>
            </w:pPr>
            <w:r>
              <w:rPr>
                <w:sz w:val="13"/>
              </w:rPr>
              <w:t>3.17</w:t>
            </w:r>
            <w:r>
              <w:br/>
            </w:r>
            <w:r>
              <w:rPr>
                <w:sz w:val="13"/>
              </w:rPr>
              <w:t>[2.78, 3.57]</w:t>
            </w:r>
          </w:p>
        </w:tc>
        <w:tc>
          <w:tcPr>
            <w:tcW w:type="dxa" w:w="737"/>
          </w:tcPr>
          <w:p>
            <w:pPr>
              <w:pStyle w:val="TableCell"/>
              <w:spacing w:before="0" w:after="0" w:line="240" w:lineRule="auto"/>
              <w:ind w:firstLine="0" w:left="0" w:right="0"/>
              <w:jc w:val="center"/>
            </w:pPr>
            <w:r>
              <w:rPr>
                <w:sz w:val="13"/>
              </w:rPr>
              <w:t>1.40</w:t>
            </w:r>
          </w:p>
        </w:tc>
        <w:tc>
          <w:tcPr>
            <w:tcW w:type="dxa" w:w="624"/>
          </w:tcPr>
          <w:p>
            <w:pPr>
              <w:pStyle w:val="TableCell"/>
              <w:spacing w:before="0" w:after="0" w:line="240" w:lineRule="auto"/>
              <w:ind w:firstLine="0" w:left="0" w:right="0"/>
              <w:jc w:val="center"/>
            </w:pPr>
            <w:r>
              <w:rPr>
                <w:sz w:val="13"/>
              </w:rPr>
              <w:t>0.93</w:t>
            </w:r>
          </w:p>
        </w:tc>
        <w:tc>
          <w:tcPr>
            <w:tcW w:type="dxa" w:w="964"/>
          </w:tcPr>
          <w:p>
            <w:pPr>
              <w:pStyle w:val="TableCell"/>
              <w:spacing w:before="0" w:after="0" w:line="240" w:lineRule="auto"/>
              <w:ind w:firstLine="0" w:left="0" w:right="0"/>
              <w:jc w:val="center"/>
            </w:pPr>
            <w:r>
              <w:rPr>
                <w:sz w:val="13"/>
              </w:rPr>
              <w:t>+4.5</w:t>
            </w:r>
            <w:r>
              <w:br/>
            </w:r>
            <w:r>
              <w:rPr>
                <w:sz w:val="13"/>
              </w:rPr>
              <w:t>[+2.9, +6.7]</w:t>
            </w:r>
          </w:p>
        </w:tc>
        <w:tc>
          <w:tcPr>
            <w:tcW w:type="dxa" w:w="964"/>
          </w:tcPr>
          <w:p>
            <w:pPr>
              <w:pStyle w:val="TableCell"/>
              <w:spacing w:before="0" w:after="0" w:line="240" w:lineRule="auto"/>
              <w:ind w:firstLine="0" w:left="0" w:right="0"/>
              <w:jc w:val="center"/>
            </w:pPr>
            <w:r>
              <w:rPr>
                <w:sz w:val="13"/>
              </w:rPr>
              <w:t>+0.9</w:t>
            </w:r>
            <w:r>
              <w:br/>
            </w:r>
            <w:r>
              <w:rPr>
                <w:sz w:val="13"/>
              </w:rPr>
              <w:t>[-7.5, +9.9]</w:t>
            </w:r>
          </w:p>
        </w:tc>
        <w:tc>
          <w:tcPr>
            <w:tcW w:type="dxa" w:w="964"/>
          </w:tcPr>
          <w:p>
            <w:pPr>
              <w:pStyle w:val="TableCell"/>
              <w:spacing w:before="0" w:after="0" w:line="240" w:lineRule="auto"/>
              <w:ind w:firstLine="0" w:left="0" w:right="0"/>
              <w:jc w:val="center"/>
            </w:pPr>
            <w:r>
              <w:rPr>
                <w:sz w:val="13"/>
              </w:rPr>
              <w:t>+1.7</w:t>
            </w:r>
            <w:r>
              <w:br/>
            </w:r>
            <w:r>
              <w:rPr>
                <w:sz w:val="13"/>
              </w:rPr>
              <w:t>[-6.3, +8.7]</w:t>
            </w:r>
          </w:p>
        </w:tc>
        <w:tc>
          <w:tcPr>
            <w:tcW w:type="dxa" w:w="964"/>
          </w:tcPr>
          <w:p>
            <w:pPr>
              <w:pStyle w:val="TableCell"/>
              <w:spacing w:before="0" w:after="0" w:line="240" w:lineRule="auto"/>
              <w:ind w:firstLine="0" w:left="0" w:right="0"/>
              <w:jc w:val="center"/>
            </w:pPr>
            <w:r>
              <w:rPr>
                <w:sz w:val="13"/>
              </w:rPr>
              <w:t>+10.5</w:t>
            </w:r>
            <w:r>
              <w:br/>
            </w:r>
            <w:r>
              <w:rPr>
                <w:sz w:val="13"/>
              </w:rPr>
              <w:t>[-0.5, +19.8]</w:t>
            </w:r>
          </w:p>
        </w:tc>
        <w:tc>
          <w:tcPr>
            <w:tcW w:type="dxa" w:w="964"/>
          </w:tcPr>
          <w:p>
            <w:pPr>
              <w:pStyle w:val="TableCell"/>
              <w:spacing w:before="0" w:after="0" w:line="240" w:lineRule="auto"/>
              <w:ind w:firstLine="0" w:left="0" w:right="0"/>
              <w:jc w:val="center"/>
            </w:pPr>
            <w:r>
              <w:rPr>
                <w:sz w:val="13"/>
              </w:rPr>
              <w:t>+12.0</w:t>
            </w:r>
            <w:r>
              <w:br/>
            </w:r>
            <w:r>
              <w:rPr>
                <w:sz w:val="13"/>
              </w:rPr>
              <w:t>[+3.8, +19.7]</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second</w:t>
            </w:r>
          </w:p>
        </w:tc>
        <w:tc>
          <w:tcPr>
            <w:tcW w:type="dxa" w:w="1077"/>
          </w:tcPr>
          <w:p>
            <w:pPr>
              <w:pStyle w:val="TableCell"/>
              <w:spacing w:before="0" w:after="0" w:line="240" w:lineRule="auto"/>
              <w:ind w:firstLine="0" w:left="0" w:right="0"/>
              <w:jc w:val="center"/>
            </w:pPr>
            <w:r>
              <w:rPr>
                <w:sz w:val="13"/>
              </w:rPr>
              <w:t>1.79</w:t>
            </w:r>
            <w:r>
              <w:br/>
            </w:r>
            <w:r>
              <w:rPr>
                <w:sz w:val="13"/>
              </w:rPr>
              <w:t>[1.52, 2.05]</w:t>
            </w:r>
          </w:p>
        </w:tc>
        <w:tc>
          <w:tcPr>
            <w:tcW w:type="dxa" w:w="737"/>
          </w:tcPr>
          <w:p>
            <w:pPr>
              <w:pStyle w:val="TableCell"/>
              <w:spacing w:before="0" w:after="0" w:line="240" w:lineRule="auto"/>
              <w:ind w:firstLine="0" w:left="0" w:right="0"/>
              <w:jc w:val="center"/>
            </w:pPr>
            <w:r>
              <w:rPr>
                <w:sz w:val="13"/>
              </w:rPr>
              <w:t>3.80</w:t>
            </w:r>
          </w:p>
        </w:tc>
        <w:tc>
          <w:tcPr>
            <w:tcW w:type="dxa" w:w="624"/>
          </w:tcPr>
          <w:p>
            <w:pPr>
              <w:pStyle w:val="TableCell"/>
              <w:spacing w:before="0" w:after="0" w:line="240" w:lineRule="auto"/>
              <w:ind w:firstLine="0" w:left="0" w:right="0"/>
              <w:jc w:val="center"/>
            </w:pPr>
            <w:r>
              <w:rPr>
                <w:sz w:val="13"/>
              </w:rPr>
              <w:t>0.00</w:t>
            </w:r>
          </w:p>
        </w:tc>
        <w:tc>
          <w:tcPr>
            <w:tcW w:type="dxa" w:w="964"/>
          </w:tcPr>
          <w:p>
            <w:pPr>
              <w:pStyle w:val="TableCell"/>
              <w:spacing w:before="0" w:after="0" w:line="240" w:lineRule="auto"/>
              <w:ind w:firstLine="0" w:left="0" w:right="0"/>
              <w:jc w:val="center"/>
            </w:pPr>
            <w:r>
              <w:rPr>
                <w:sz w:val="13"/>
              </w:rPr>
              <w:t>-1.2</w:t>
            </w:r>
            <w:r>
              <w:br/>
            </w:r>
            <w:r>
              <w:rPr>
                <w:sz w:val="13"/>
              </w:rPr>
              <w:t>[-2.5, +0.2]</w:t>
            </w:r>
          </w:p>
        </w:tc>
        <w:tc>
          <w:tcPr>
            <w:tcW w:type="dxa" w:w="964"/>
          </w:tcPr>
          <w:p>
            <w:pPr>
              <w:pStyle w:val="TableCell"/>
              <w:spacing w:before="0" w:after="0" w:line="240" w:lineRule="auto"/>
              <w:ind w:firstLine="0" w:left="0" w:right="0"/>
              <w:jc w:val="center"/>
            </w:pPr>
            <w:r>
              <w:rPr>
                <w:sz w:val="13"/>
              </w:rPr>
              <w:t>-7.7</w:t>
            </w:r>
            <w:r>
              <w:br/>
            </w:r>
            <w:r>
              <w:rPr>
                <w:sz w:val="13"/>
              </w:rPr>
              <w:t>[-11.8, -3.8]</w:t>
            </w:r>
          </w:p>
        </w:tc>
        <w:tc>
          <w:tcPr>
            <w:tcW w:type="dxa" w:w="964"/>
          </w:tcPr>
          <w:p>
            <w:pPr>
              <w:pStyle w:val="TableCell"/>
              <w:spacing w:before="0" w:after="0" w:line="240" w:lineRule="auto"/>
              <w:ind w:firstLine="0" w:left="0" w:right="0"/>
              <w:jc w:val="center"/>
            </w:pPr>
            <w:r>
              <w:rPr>
                <w:sz w:val="13"/>
              </w:rPr>
              <w:t>-4.1</w:t>
            </w:r>
            <w:r>
              <w:br/>
            </w:r>
            <w:r>
              <w:rPr>
                <w:sz w:val="13"/>
              </w:rPr>
              <w:t>[-7.3, -0.9]</w:t>
            </w:r>
          </w:p>
        </w:tc>
        <w:tc>
          <w:tcPr>
            <w:tcW w:type="dxa" w:w="964"/>
          </w:tcPr>
          <w:p>
            <w:pPr>
              <w:pStyle w:val="TableCell"/>
              <w:spacing w:before="0" w:after="0" w:line="240" w:lineRule="auto"/>
              <w:ind w:firstLine="0" w:left="0" w:right="0"/>
              <w:jc w:val="center"/>
            </w:pPr>
            <w:r>
              <w:rPr>
                <w:sz w:val="13"/>
              </w:rPr>
              <w:t>-8.8</w:t>
            </w:r>
            <w:r>
              <w:br/>
            </w:r>
            <w:r>
              <w:rPr>
                <w:sz w:val="13"/>
              </w:rPr>
              <w:t>[-12.8, -4.9]</w:t>
            </w:r>
          </w:p>
        </w:tc>
        <w:tc>
          <w:tcPr>
            <w:tcW w:type="dxa" w:w="964"/>
          </w:tcPr>
          <w:p>
            <w:pPr>
              <w:pStyle w:val="TableCell"/>
              <w:spacing w:before="0" w:after="0" w:line="240" w:lineRule="auto"/>
              <w:ind w:firstLine="0" w:left="0" w:right="0"/>
              <w:jc w:val="center"/>
            </w:pPr>
            <w:r>
              <w:rPr>
                <w:sz w:val="13"/>
              </w:rPr>
              <w:t>-0.4</w:t>
            </w:r>
            <w:r>
              <w:br/>
            </w:r>
            <w:r>
              <w:rPr>
                <w:sz w:val="13"/>
              </w:rPr>
              <w:t>[-5.7, +4.2]</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third</w:t>
            </w:r>
          </w:p>
        </w:tc>
        <w:tc>
          <w:tcPr>
            <w:tcW w:type="dxa" w:w="1077"/>
          </w:tcPr>
          <w:p>
            <w:pPr>
              <w:pStyle w:val="TableCell"/>
              <w:spacing w:before="0" w:after="0" w:line="240" w:lineRule="auto"/>
              <w:ind w:firstLine="0" w:left="0" w:right="0"/>
              <w:jc w:val="center"/>
            </w:pPr>
            <w:r>
              <w:rPr>
                <w:sz w:val="13"/>
              </w:rPr>
              <w:t>3.31</w:t>
            </w:r>
            <w:r>
              <w:br/>
            </w:r>
            <w:r>
              <w:rPr>
                <w:sz w:val="13"/>
              </w:rPr>
              <w:t>[2.72, 3.85]</w:t>
            </w:r>
          </w:p>
        </w:tc>
        <w:tc>
          <w:tcPr>
            <w:tcW w:type="dxa" w:w="737"/>
          </w:tcPr>
          <w:p>
            <w:pPr>
              <w:pStyle w:val="TableCell"/>
              <w:spacing w:before="0" w:after="0" w:line="240" w:lineRule="auto"/>
              <w:ind w:firstLine="0" w:left="0" w:right="0"/>
              <w:jc w:val="center"/>
            </w:pPr>
            <w:r>
              <w:rPr>
                <w:sz w:val="13"/>
              </w:rPr>
              <w:t>1.25</w:t>
            </w:r>
          </w:p>
        </w:tc>
        <w:tc>
          <w:tcPr>
            <w:tcW w:type="dxa" w:w="624"/>
          </w:tcPr>
          <w:p>
            <w:pPr>
              <w:pStyle w:val="TableCell"/>
              <w:spacing w:before="0" w:after="0" w:line="240" w:lineRule="auto"/>
              <w:ind w:firstLine="0" w:left="0" w:right="0"/>
              <w:jc w:val="center"/>
            </w:pPr>
            <w:r>
              <w:rPr>
                <w:sz w:val="13"/>
              </w:rPr>
              <w:t>0.95</w:t>
            </w:r>
          </w:p>
        </w:tc>
        <w:tc>
          <w:tcPr>
            <w:tcW w:type="dxa" w:w="964"/>
          </w:tcPr>
          <w:p>
            <w:pPr>
              <w:pStyle w:val="TableCell"/>
              <w:spacing w:before="0" w:after="0" w:line="240" w:lineRule="auto"/>
              <w:ind w:firstLine="0" w:left="0" w:right="0"/>
              <w:jc w:val="center"/>
            </w:pPr>
            <w:r>
              <w:rPr>
                <w:sz w:val="13"/>
              </w:rPr>
              <w:t>+1.3</w:t>
            </w:r>
            <w:r>
              <w:br/>
            </w:r>
            <w:r>
              <w:rPr>
                <w:sz w:val="13"/>
              </w:rPr>
              <w:t>[-0.7, +3.5]</w:t>
            </w:r>
          </w:p>
        </w:tc>
        <w:tc>
          <w:tcPr>
            <w:tcW w:type="dxa" w:w="964"/>
          </w:tcPr>
          <w:p>
            <w:pPr>
              <w:pStyle w:val="TableCell"/>
              <w:spacing w:before="0" w:after="0" w:line="240" w:lineRule="auto"/>
              <w:ind w:firstLine="0" w:left="0" w:right="0"/>
              <w:jc w:val="center"/>
            </w:pPr>
            <w:r>
              <w:rPr>
                <w:sz w:val="13"/>
              </w:rPr>
              <w:t>—</w:t>
            </w:r>
          </w:p>
        </w:tc>
        <w:tc>
          <w:tcPr>
            <w:tcW w:type="dxa" w:w="964"/>
          </w:tcPr>
          <w:p>
            <w:pPr>
              <w:pStyle w:val="TableCell"/>
              <w:spacing w:before="0" w:after="0" w:line="240" w:lineRule="auto"/>
              <w:ind w:firstLine="0" w:left="0" w:right="0"/>
              <w:jc w:val="center"/>
            </w:pPr>
            <w:r>
              <w:rPr>
                <w:sz w:val="13"/>
              </w:rPr>
              <w:t>+11.5</w:t>
            </w:r>
            <w:r>
              <w:br/>
            </w:r>
            <w:r>
              <w:rPr>
                <w:sz w:val="13"/>
              </w:rPr>
              <w:t>[+1.6, +116.5]</w:t>
            </w:r>
          </w:p>
        </w:tc>
        <w:tc>
          <w:tcPr>
            <w:tcW w:type="dxa" w:w="964"/>
          </w:tcPr>
          <w:p>
            <w:pPr>
              <w:pStyle w:val="TableCell"/>
              <w:spacing w:before="0" w:after="0" w:line="240" w:lineRule="auto"/>
              <w:ind w:firstLine="0" w:left="0" w:right="0"/>
              <w:jc w:val="center"/>
            </w:pPr>
            <w:r>
              <w:rPr>
                <w:sz w:val="13"/>
              </w:rPr>
              <w:t>—</w:t>
            </w:r>
          </w:p>
        </w:tc>
        <w:tc>
          <w:tcPr>
            <w:tcW w:type="dxa" w:w="964"/>
          </w:tcPr>
          <w:p>
            <w:pPr>
              <w:pStyle w:val="TableCell"/>
              <w:spacing w:before="0" w:after="0" w:line="240" w:lineRule="auto"/>
              <w:ind w:firstLine="0" w:left="0" w:right="0"/>
              <w:jc w:val="center"/>
            </w:pPr>
            <w:r>
              <w:rPr>
                <w:sz w:val="13"/>
              </w:rPr>
              <w:t>—</w:t>
            </w:r>
          </w:p>
        </w:tc>
      </w:tr>
    </w:tbl>
    <w:p>
      <w:pPr>
        <w:pStyle w:val="Para"/>
      </w:pPr>
      <w:r>
        <w:t>By demand class, LGB-Q leads on M5 in the smooth, intermittent and lumpy classes in every window. On VN1 only the lumpy class has the same leader (LGB-Q) in all three windows; the smooth class is led by TSB-NB in two windows and by LGB-C in the third.</w:t>
      </w:r>
    </w:p>
    <w:p>
      <w:pPr>
        <w:pStyle w:val="Head2"/>
      </w:pPr>
      <w:r>
        <w:t>Why VN1 depends on the period</w:t>
      </w:r>
    </w:p>
    <w:p>
      <w:pPr>
        <w:pStyle w:val="TableCaption"/>
      </w:pPr>
      <w:r>
        <w:t>Table 4: Ex-post split of the series by the change of their demand (test period vs the 26 weeks before it): stable 0.67–1.5×, growing &gt; 1.5×. Share of test demand of the growing series, and inventory needed at fill rate 0.92: Δ = I_TSB-NB / I_LGB-Q − 1 (positive = LGB-Q needs less; “TSB-NB fails” = TSB-NB does not reach 0.92).</w:t>
      </w:r>
    </w:p>
    <w:tbl>
      <w:tblPr>
        <w:tblStyle w:val="affff1"/>
        <w:tblW w:type="auto" w:w="0"/>
        <w:jc w:val="center"/>
        <w:tblLayout w:type="fixed"/>
        <w:tblLook w:firstColumn="1" w:firstRow="1" w:lastColumn="0" w:lastRow="0" w:noHBand="0" w:noVBand="1" w:val="04A0"/>
        <w:tblCellMar>
          <w:left w:w="40" w:type="dxa"/>
          <w:right w:w="40" w:type="dxa"/>
        </w:tblCellMar>
      </w:tblPr>
      <w:tblGrid>
        <w:gridCol w:w="1460"/>
        <w:gridCol w:w="1460"/>
        <w:gridCol w:w="1460"/>
        <w:gridCol w:w="1460"/>
        <w:gridCol w:w="1460"/>
        <w:gridCol w:w="1460"/>
      </w:tblGrid>
      <w:tr>
        <w:tc>
          <w:tcPr>
            <w:tcW w:type="dxa" w:w="737"/>
          </w:tcPr>
          <w:p>
            <w:pPr>
              <w:pStyle w:val="TableCell"/>
              <w:spacing w:before="0" w:after="0" w:line="240" w:lineRule="auto"/>
              <w:ind w:firstLine="0" w:left="0" w:right="0"/>
              <w:jc w:val="left"/>
            </w:pPr>
            <w:r>
              <w:rPr>
                <w:b/>
                <w:sz w:val="13"/>
              </w:rPr>
              <w:t>Dataset</w:t>
            </w:r>
          </w:p>
        </w:tc>
        <w:tc>
          <w:tcPr>
            <w:tcW w:type="dxa" w:w="850"/>
          </w:tcPr>
          <w:p>
            <w:pPr>
              <w:pStyle w:val="TableCell"/>
              <w:spacing w:before="0" w:after="0" w:line="240" w:lineRule="auto"/>
              <w:ind w:firstLine="0" w:left="0" w:right="0"/>
              <w:jc w:val="center"/>
            </w:pPr>
            <w:r>
              <w:rPr>
                <w:b/>
                <w:sz w:val="13"/>
              </w:rPr>
              <w:t>Window</w:t>
            </w:r>
          </w:p>
        </w:tc>
        <w:tc>
          <w:tcPr>
            <w:tcW w:type="dxa" w:w="1814"/>
          </w:tcPr>
          <w:p>
            <w:pPr>
              <w:pStyle w:val="TableCell"/>
              <w:spacing w:before="0" w:after="0" w:line="240" w:lineRule="auto"/>
              <w:ind w:firstLine="0" w:left="0" w:right="0"/>
              <w:jc w:val="center"/>
            </w:pPr>
            <w:r>
              <w:rPr>
                <w:b/>
                <w:sz w:val="13"/>
              </w:rPr>
              <w:t>Growing: share of demand</w:t>
            </w:r>
          </w:p>
        </w:tc>
        <w:tc>
          <w:tcPr>
            <w:tcW w:type="dxa" w:w="1757"/>
          </w:tcPr>
          <w:p>
            <w:pPr>
              <w:pStyle w:val="TableCell"/>
              <w:spacing w:before="0" w:after="0" w:line="240" w:lineRule="auto"/>
              <w:ind w:firstLine="0" w:left="0" w:right="0"/>
              <w:jc w:val="center"/>
            </w:pPr>
            <w:r>
              <w:rPr>
                <w:b/>
                <w:sz w:val="13"/>
              </w:rPr>
              <w:t>Stable series: Δ</w:t>
            </w:r>
          </w:p>
        </w:tc>
        <w:tc>
          <w:tcPr>
            <w:tcW w:type="dxa" w:w="1757"/>
          </w:tcPr>
          <w:p>
            <w:pPr>
              <w:pStyle w:val="TableCell"/>
              <w:spacing w:before="0" w:after="0" w:line="240" w:lineRule="auto"/>
              <w:ind w:firstLine="0" w:left="0" w:right="0"/>
              <w:jc w:val="center"/>
            </w:pPr>
            <w:r>
              <w:rPr>
                <w:b/>
                <w:sz w:val="13"/>
              </w:rPr>
              <w:t>Growing series: Δ</w:t>
            </w:r>
          </w:p>
        </w:tc>
        <w:tc>
          <w:tcPr>
            <w:tcW w:type="dxa" w:w="1814"/>
          </w:tcPr>
          <w:p>
            <w:pPr>
              <w:pStyle w:val="TableCell"/>
              <w:spacing w:before="0" w:after="0" w:line="240" w:lineRule="auto"/>
              <w:ind w:firstLine="0" w:left="0" w:right="0"/>
              <w:jc w:val="center"/>
            </w:pPr>
            <w:r>
              <w:rPr>
                <w:b/>
                <w:sz w:val="13"/>
              </w:rPr>
              <w:t>All series: Δ</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main</w:t>
            </w:r>
          </w:p>
        </w:tc>
        <w:tc>
          <w:tcPr>
            <w:tcW w:type="dxa" w:w="1814"/>
          </w:tcPr>
          <w:p>
            <w:pPr>
              <w:pStyle w:val="TableCell"/>
              <w:spacing w:before="0" w:after="0" w:line="240" w:lineRule="auto"/>
              <w:ind w:firstLine="0" w:left="0" w:right="0"/>
              <w:jc w:val="center"/>
            </w:pPr>
            <w:r>
              <w:rPr>
                <w:sz w:val="13"/>
              </w:rPr>
              <w:t>20.7%</w:t>
            </w:r>
          </w:p>
        </w:tc>
        <w:tc>
          <w:tcPr>
            <w:tcW w:type="dxa" w:w="1757"/>
          </w:tcPr>
          <w:p>
            <w:pPr>
              <w:pStyle w:val="TableCell"/>
              <w:spacing w:before="0" w:after="0" w:line="240" w:lineRule="auto"/>
              <w:ind w:firstLine="0" w:left="0" w:right="0"/>
              <w:jc w:val="center"/>
            </w:pPr>
            <w:r>
              <w:rPr>
                <w:sz w:val="13"/>
              </w:rPr>
              <w:t>+8.5%</w:t>
            </w:r>
          </w:p>
        </w:tc>
        <w:tc>
          <w:tcPr>
            <w:tcW w:type="dxa" w:w="1757"/>
          </w:tcPr>
          <w:p>
            <w:pPr>
              <w:pStyle w:val="TableCell"/>
              <w:spacing w:before="0" w:after="0" w:line="240" w:lineRule="auto"/>
              <w:ind w:firstLine="0" w:left="0" w:right="0"/>
              <w:jc w:val="center"/>
            </w:pPr>
            <w:r>
              <w:rPr>
                <w:sz w:val="13"/>
              </w:rPr>
              <w:t>+12.5%</w:t>
            </w:r>
          </w:p>
        </w:tc>
        <w:tc>
          <w:tcPr>
            <w:tcW w:type="dxa" w:w="1814"/>
          </w:tcPr>
          <w:p>
            <w:pPr>
              <w:pStyle w:val="TableCell"/>
              <w:spacing w:before="0" w:after="0" w:line="240" w:lineRule="auto"/>
              <w:ind w:firstLine="0" w:left="0" w:right="0"/>
              <w:jc w:val="center"/>
            </w:pPr>
            <w:r>
              <w:rPr>
                <w:sz w:val="13"/>
              </w:rPr>
              <w:t>+10.4%</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second</w:t>
            </w:r>
          </w:p>
        </w:tc>
        <w:tc>
          <w:tcPr>
            <w:tcW w:type="dxa" w:w="1814"/>
          </w:tcPr>
          <w:p>
            <w:pPr>
              <w:pStyle w:val="TableCell"/>
              <w:spacing w:before="0" w:after="0" w:line="240" w:lineRule="auto"/>
              <w:ind w:firstLine="0" w:left="0" w:right="0"/>
              <w:jc w:val="center"/>
            </w:pPr>
            <w:r>
              <w:rPr>
                <w:sz w:val="13"/>
              </w:rPr>
              <w:t>28.0%</w:t>
            </w:r>
          </w:p>
        </w:tc>
        <w:tc>
          <w:tcPr>
            <w:tcW w:type="dxa" w:w="1757"/>
          </w:tcPr>
          <w:p>
            <w:pPr>
              <w:pStyle w:val="TableCell"/>
              <w:spacing w:before="0" w:after="0" w:line="240" w:lineRule="auto"/>
              <w:ind w:firstLine="0" w:left="0" w:right="0"/>
              <w:jc w:val="center"/>
            </w:pPr>
            <w:r>
              <w:rPr>
                <w:sz w:val="13"/>
              </w:rPr>
              <w:t>+7.7%</w:t>
            </w:r>
          </w:p>
        </w:tc>
        <w:tc>
          <w:tcPr>
            <w:tcW w:type="dxa" w:w="1757"/>
          </w:tcPr>
          <w:p>
            <w:pPr>
              <w:pStyle w:val="TableCell"/>
              <w:spacing w:before="0" w:after="0" w:line="240" w:lineRule="auto"/>
              <w:ind w:firstLine="0" w:left="0" w:right="0"/>
              <w:jc w:val="center"/>
            </w:pPr>
            <w:r>
              <w:rPr>
                <w:sz w:val="13"/>
              </w:rPr>
              <w:t>+7.7%</w:t>
            </w:r>
          </w:p>
        </w:tc>
        <w:tc>
          <w:tcPr>
            <w:tcW w:type="dxa" w:w="1814"/>
          </w:tcPr>
          <w:p>
            <w:pPr>
              <w:pStyle w:val="TableCell"/>
              <w:spacing w:before="0" w:after="0" w:line="240" w:lineRule="auto"/>
              <w:ind w:firstLine="0" w:left="0" w:right="0"/>
              <w:jc w:val="center"/>
            </w:pPr>
            <w:r>
              <w:rPr>
                <w:sz w:val="13"/>
              </w:rPr>
              <w:t>+5.5%</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third</w:t>
            </w:r>
          </w:p>
        </w:tc>
        <w:tc>
          <w:tcPr>
            <w:tcW w:type="dxa" w:w="1814"/>
          </w:tcPr>
          <w:p>
            <w:pPr>
              <w:pStyle w:val="TableCell"/>
              <w:spacing w:before="0" w:after="0" w:line="240" w:lineRule="auto"/>
              <w:ind w:firstLine="0" w:left="0" w:right="0"/>
              <w:jc w:val="center"/>
            </w:pPr>
            <w:r>
              <w:rPr>
                <w:sz w:val="13"/>
              </w:rPr>
              <w:t>19.4%</w:t>
            </w:r>
          </w:p>
        </w:tc>
        <w:tc>
          <w:tcPr>
            <w:tcW w:type="dxa" w:w="1757"/>
          </w:tcPr>
          <w:p>
            <w:pPr>
              <w:pStyle w:val="TableCell"/>
              <w:spacing w:before="0" w:after="0" w:line="240" w:lineRule="auto"/>
              <w:ind w:firstLine="0" w:left="0" w:right="0"/>
              <w:jc w:val="center"/>
            </w:pPr>
            <w:r>
              <w:rPr>
                <w:sz w:val="13"/>
              </w:rPr>
              <w:t>+3.9%</w:t>
            </w:r>
          </w:p>
        </w:tc>
        <w:tc>
          <w:tcPr>
            <w:tcW w:type="dxa" w:w="1757"/>
          </w:tcPr>
          <w:p>
            <w:pPr>
              <w:pStyle w:val="TableCell"/>
              <w:spacing w:before="0" w:after="0" w:line="240" w:lineRule="auto"/>
              <w:ind w:firstLine="0" w:left="0" w:right="0"/>
              <w:jc w:val="center"/>
            </w:pPr>
            <w:r>
              <w:rPr>
                <w:sz w:val="13"/>
              </w:rPr>
              <w:t>+5.7%</w:t>
            </w:r>
          </w:p>
        </w:tc>
        <w:tc>
          <w:tcPr>
            <w:tcW w:type="dxa" w:w="1814"/>
          </w:tcPr>
          <w:p>
            <w:pPr>
              <w:pStyle w:val="TableCell"/>
              <w:spacing w:before="0" w:after="0" w:line="240" w:lineRule="auto"/>
              <w:ind w:firstLine="0" w:left="0" w:right="0"/>
              <w:jc w:val="center"/>
            </w:pPr>
            <w:r>
              <w:rPr>
                <w:sz w:val="13"/>
              </w:rPr>
              <w:t>+6.1%</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main</w:t>
            </w:r>
          </w:p>
        </w:tc>
        <w:tc>
          <w:tcPr>
            <w:tcW w:type="dxa" w:w="1814"/>
          </w:tcPr>
          <w:p>
            <w:pPr>
              <w:pStyle w:val="TableCell"/>
              <w:spacing w:before="0" w:after="0" w:line="240" w:lineRule="auto"/>
              <w:ind w:firstLine="0" w:left="0" w:right="0"/>
              <w:jc w:val="center"/>
            </w:pPr>
            <w:r>
              <w:rPr>
                <w:sz w:val="13"/>
              </w:rPr>
              <w:t>31.5%</w:t>
            </w:r>
          </w:p>
        </w:tc>
        <w:tc>
          <w:tcPr>
            <w:tcW w:type="dxa" w:w="1757"/>
          </w:tcPr>
          <w:p>
            <w:pPr>
              <w:pStyle w:val="TableCell"/>
              <w:spacing w:before="0" w:after="0" w:line="240" w:lineRule="auto"/>
              <w:ind w:firstLine="0" w:left="0" w:right="0"/>
              <w:jc w:val="center"/>
            </w:pPr>
            <w:r>
              <w:rPr>
                <w:sz w:val="13"/>
              </w:rPr>
              <w:t>-14.4%</w:t>
            </w:r>
          </w:p>
        </w:tc>
        <w:tc>
          <w:tcPr>
            <w:tcW w:type="dxa" w:w="1757"/>
          </w:tcPr>
          <w:p>
            <w:pPr>
              <w:pStyle w:val="TableCell"/>
              <w:spacing w:before="0" w:after="0" w:line="240" w:lineRule="auto"/>
              <w:ind w:firstLine="0" w:left="0" w:right="0"/>
              <w:jc w:val="center"/>
            </w:pPr>
            <w:r>
              <w:rPr>
                <w:sz w:val="13"/>
              </w:rPr>
              <w:t>TSB-NB fails</w:t>
            </w:r>
          </w:p>
        </w:tc>
        <w:tc>
          <w:tcPr>
            <w:tcW w:type="dxa" w:w="1814"/>
          </w:tcPr>
          <w:p>
            <w:pPr>
              <w:pStyle w:val="TableCell"/>
              <w:spacing w:before="0" w:after="0" w:line="240" w:lineRule="auto"/>
              <w:ind w:firstLine="0" w:left="0" w:right="0"/>
              <w:jc w:val="center"/>
            </w:pPr>
            <w:r>
              <w:rPr>
                <w:sz w:val="13"/>
              </w:rPr>
              <w:t>+5.0%</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second</w:t>
            </w:r>
          </w:p>
        </w:tc>
        <w:tc>
          <w:tcPr>
            <w:tcW w:type="dxa" w:w="1814"/>
          </w:tcPr>
          <w:p>
            <w:pPr>
              <w:pStyle w:val="TableCell"/>
              <w:spacing w:before="0" w:after="0" w:line="240" w:lineRule="auto"/>
              <w:ind w:firstLine="0" w:left="0" w:right="0"/>
              <w:jc w:val="center"/>
            </w:pPr>
            <w:r>
              <w:rPr>
                <w:sz w:val="13"/>
              </w:rPr>
              <w:t>22.8%</w:t>
            </w:r>
          </w:p>
        </w:tc>
        <w:tc>
          <w:tcPr>
            <w:tcW w:type="dxa" w:w="1757"/>
          </w:tcPr>
          <w:p>
            <w:pPr>
              <w:pStyle w:val="TableCell"/>
              <w:spacing w:before="0" w:after="0" w:line="240" w:lineRule="auto"/>
              <w:ind w:firstLine="0" w:left="0" w:right="0"/>
              <w:jc w:val="center"/>
            </w:pPr>
            <w:r>
              <w:rPr>
                <w:sz w:val="13"/>
              </w:rPr>
              <w:t>-13.3%</w:t>
            </w:r>
          </w:p>
        </w:tc>
        <w:tc>
          <w:tcPr>
            <w:tcW w:type="dxa" w:w="1757"/>
          </w:tcPr>
          <w:p>
            <w:pPr>
              <w:pStyle w:val="TableCell"/>
              <w:spacing w:before="0" w:after="0" w:line="240" w:lineRule="auto"/>
              <w:ind w:firstLine="0" w:left="0" w:right="0"/>
              <w:jc w:val="center"/>
            </w:pPr>
            <w:r>
              <w:rPr>
                <w:sz w:val="13"/>
              </w:rPr>
              <w:t>-10.5%</w:t>
            </w:r>
          </w:p>
        </w:tc>
        <w:tc>
          <w:tcPr>
            <w:tcW w:type="dxa" w:w="1814"/>
          </w:tcPr>
          <w:p>
            <w:pPr>
              <w:pStyle w:val="TableCell"/>
              <w:spacing w:before="0" w:after="0" w:line="240" w:lineRule="auto"/>
              <w:ind w:firstLine="0" w:left="0" w:right="0"/>
              <w:jc w:val="center"/>
            </w:pPr>
            <w:r>
              <w:rPr>
                <w:sz w:val="13"/>
              </w:rPr>
              <w:t>-11.3%</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third</w:t>
            </w:r>
          </w:p>
        </w:tc>
        <w:tc>
          <w:tcPr>
            <w:tcW w:type="dxa" w:w="1814"/>
          </w:tcPr>
          <w:p>
            <w:pPr>
              <w:pStyle w:val="TableCell"/>
              <w:spacing w:before="0" w:after="0" w:line="240" w:lineRule="auto"/>
              <w:ind w:firstLine="0" w:left="0" w:right="0"/>
              <w:jc w:val="center"/>
            </w:pPr>
            <w:r>
              <w:rPr>
                <w:sz w:val="13"/>
              </w:rPr>
              <w:t>40.4%</w:t>
            </w:r>
          </w:p>
        </w:tc>
        <w:tc>
          <w:tcPr>
            <w:tcW w:type="dxa" w:w="1757"/>
          </w:tcPr>
          <w:p>
            <w:pPr>
              <w:pStyle w:val="TableCell"/>
              <w:spacing w:before="0" w:after="0" w:line="240" w:lineRule="auto"/>
              <w:ind w:firstLine="0" w:left="0" w:right="0"/>
              <w:jc w:val="center"/>
            </w:pPr>
            <w:r>
              <w:rPr>
                <w:sz w:val="13"/>
              </w:rPr>
              <w:t>-15.6%</w:t>
            </w:r>
          </w:p>
        </w:tc>
        <w:tc>
          <w:tcPr>
            <w:tcW w:type="dxa" w:w="1757"/>
          </w:tcPr>
          <w:p>
            <w:pPr>
              <w:pStyle w:val="TableCell"/>
              <w:spacing w:before="0" w:after="0" w:line="240" w:lineRule="auto"/>
              <w:ind w:firstLine="0" w:left="0" w:right="0"/>
              <w:jc w:val="center"/>
            </w:pPr>
            <w:r>
              <w:rPr>
                <w:sz w:val="13"/>
              </w:rPr>
              <w:t>TSB-NB fails</w:t>
            </w:r>
          </w:p>
        </w:tc>
        <w:tc>
          <w:tcPr>
            <w:tcW w:type="dxa" w:w="1814"/>
          </w:tcPr>
          <w:p>
            <w:pPr>
              <w:pStyle w:val="TableCell"/>
              <w:spacing w:before="0" w:after="0" w:line="240" w:lineRule="auto"/>
              <w:ind w:firstLine="0" w:left="0" w:right="0"/>
              <w:jc w:val="center"/>
            </w:pPr>
            <w:r>
              <w:rPr>
                <w:sz w:val="13"/>
              </w:rPr>
              <w:t>+25.1%</w:t>
            </w:r>
          </w:p>
        </w:tc>
      </w:tr>
    </w:tbl>
    <w:p>
      <w:pPr>
        <w:pStyle w:val="Para"/>
      </w:pPr>
      <w:r>
        <w:t>We split the series of each window by how their demand changed between the 26 weeks before the test period and the test period itself: stable (0.67–1.5 times) or growing (more than 1.5 times). This split uses realised demand, so it is descriptive and cannot guide decisions.</w:t>
      </w:r>
    </w:p>
    <w:p>
      <w:pPr>
        <w:pStyle w:val="Para"/>
      </w:pPr>
      <w:r>
        <w:t>The pattern is the same in all three windows (Table 4). On VN1 series with stable demand, TSB-NB needs 13.3–15.6% less inventory than LGB-Q. On series whose demand grows, TSB-NB fails to reach a fill rate of 0.92 in two windows, whereas LGB-Q reaches it. The aggregate result follows the share of demand that comes from growing series: 31.5% and 40.4% in the windows where LGB-Q leads, and 22.8% in the window where TSB-NB leads. On M5, LGB-Q needs less inventory in both strata in every window.</w:t>
      </w:r>
    </w:p>
    <w:p>
      <w:pPr>
        <w:pStyle w:val="Head2"/>
      </w:pPr>
      <w:r>
        <w:t>Can a better grouping of series anticipate this?</w:t>
      </w:r>
    </w:p>
    <w:p>
      <w:pPr>
        <w:pStyle w:val="TableCaption"/>
      </w:pPr>
      <w:r>
        <w:t>Table 5: Selection rules learned on one window and applied to the next: inventory needed at fill rate 0.94 relative to always using LGB-Q (%, 95% bootstrap CI; negative = less inventory).</w:t>
      </w:r>
    </w:p>
    <w:tbl>
      <w:tblPr>
        <w:tblStyle w:val="affff1"/>
        <w:tblW w:type="auto" w:w="0"/>
        <w:jc w:val="center"/>
        <w:tblLayout w:type="fixed"/>
        <w:tblLook w:firstColumn="1" w:firstRow="1" w:lastColumn="0" w:lastRow="0" w:noHBand="0" w:noVBand="1" w:val="04A0"/>
        <w:tblCellMar>
          <w:left w:w="40" w:type="dxa"/>
          <w:right w:w="40" w:type="dxa"/>
        </w:tblCellMar>
      </w:tblPr>
      <w:tblGrid>
        <w:gridCol w:w="1752"/>
        <w:gridCol w:w="1752"/>
        <w:gridCol w:w="1752"/>
        <w:gridCol w:w="1752"/>
        <w:gridCol w:w="1752"/>
      </w:tblGrid>
      <w:tr>
        <w:tc>
          <w:tcPr>
            <w:tcW w:type="dxa" w:w="2608"/>
          </w:tcPr>
          <w:p>
            <w:pPr>
              <w:pStyle w:val="TableCell"/>
              <w:spacing w:before="0" w:after="0" w:line="240" w:lineRule="auto"/>
              <w:ind w:firstLine="0" w:left="0" w:right="0"/>
              <w:jc w:val="left"/>
            </w:pPr>
            <w:r>
              <w:rPr>
                <w:b/>
                <w:sz w:val="13"/>
              </w:rPr>
              <w:t>Rule</w:t>
            </w:r>
          </w:p>
        </w:tc>
        <w:tc>
          <w:tcPr>
            <w:tcW w:type="dxa" w:w="1531"/>
          </w:tcPr>
          <w:p>
            <w:pPr>
              <w:pStyle w:val="TableCell"/>
              <w:spacing w:before="0" w:after="0" w:line="240" w:lineRule="auto"/>
              <w:ind w:firstLine="0" w:left="0" w:right="0"/>
              <w:jc w:val="center"/>
            </w:pPr>
            <w:r>
              <w:rPr>
                <w:b/>
                <w:sz w:val="13"/>
              </w:rPr>
              <w:t>M5 third → second</w:t>
            </w:r>
          </w:p>
        </w:tc>
        <w:tc>
          <w:tcPr>
            <w:tcW w:type="dxa" w:w="1531"/>
          </w:tcPr>
          <w:p>
            <w:pPr>
              <w:pStyle w:val="TableCell"/>
              <w:spacing w:before="0" w:after="0" w:line="240" w:lineRule="auto"/>
              <w:ind w:firstLine="0" w:left="0" w:right="0"/>
              <w:jc w:val="center"/>
            </w:pPr>
            <w:r>
              <w:rPr>
                <w:b/>
                <w:sz w:val="13"/>
              </w:rPr>
              <w:t>M5 second → main</w:t>
            </w:r>
          </w:p>
        </w:tc>
        <w:tc>
          <w:tcPr>
            <w:tcW w:type="dxa" w:w="1531"/>
          </w:tcPr>
          <w:p>
            <w:pPr>
              <w:pStyle w:val="TableCell"/>
              <w:spacing w:before="0" w:after="0" w:line="240" w:lineRule="auto"/>
              <w:ind w:firstLine="0" w:left="0" w:right="0"/>
              <w:jc w:val="center"/>
            </w:pPr>
            <w:r>
              <w:rPr>
                <w:b/>
                <w:sz w:val="13"/>
              </w:rPr>
              <w:t>VN1 third → second</w:t>
            </w:r>
          </w:p>
        </w:tc>
        <w:tc>
          <w:tcPr>
            <w:tcW w:type="dxa" w:w="1531"/>
          </w:tcPr>
          <w:p>
            <w:pPr>
              <w:pStyle w:val="TableCell"/>
              <w:spacing w:before="0" w:after="0" w:line="240" w:lineRule="auto"/>
              <w:ind w:firstLine="0" w:left="0" w:right="0"/>
              <w:jc w:val="center"/>
            </w:pPr>
            <w:r>
              <w:rPr>
                <w:b/>
                <w:sz w:val="13"/>
              </w:rPr>
              <w:t>VN1 second → main</w:t>
            </w:r>
          </w:p>
        </w:tc>
      </w:tr>
      <w:tr>
        <w:tc>
          <w:tcPr>
            <w:tcW w:type="dxa" w:w="2608"/>
          </w:tcPr>
          <w:p>
            <w:pPr>
              <w:pStyle w:val="TableCell"/>
              <w:spacing w:before="0" w:after="0" w:line="240" w:lineRule="auto"/>
              <w:ind w:firstLine="0" w:left="0" w:right="0"/>
              <w:jc w:val="left"/>
            </w:pPr>
            <w:r>
              <w:rPr>
                <w:sz w:val="13"/>
              </w:rPr>
              <w:t>always TSB-NB</w:t>
            </w:r>
          </w:p>
        </w:tc>
        <w:tc>
          <w:tcPr>
            <w:tcW w:type="dxa" w:w="1531"/>
          </w:tcPr>
          <w:p>
            <w:pPr>
              <w:pStyle w:val="TableCell"/>
              <w:spacing w:before="0" w:after="0" w:line="240" w:lineRule="auto"/>
              <w:ind w:firstLine="0" w:left="0" w:right="0"/>
              <w:jc w:val="center"/>
            </w:pPr>
            <w:r>
              <w:rPr>
                <w:sz w:val="13"/>
              </w:rPr>
              <w:t>+7.5</w:t>
            </w:r>
            <w:r>
              <w:br/>
            </w:r>
            <w:r>
              <w:rPr>
                <w:sz w:val="13"/>
              </w:rPr>
              <w:t>[+6.7, +8.6]</w:t>
            </w:r>
          </w:p>
        </w:tc>
        <w:tc>
          <w:tcPr>
            <w:tcW w:type="dxa" w:w="1531"/>
          </w:tcPr>
          <w:p>
            <w:pPr>
              <w:pStyle w:val="TableCell"/>
              <w:spacing w:before="0" w:after="0" w:line="240" w:lineRule="auto"/>
              <w:ind w:firstLine="0" w:left="0" w:right="0"/>
              <w:jc w:val="center"/>
            </w:pPr>
            <w:r>
              <w:rPr>
                <w:sz w:val="13"/>
              </w:rPr>
              <w:t>+10.0</w:t>
            </w:r>
            <w:r>
              <w:br/>
            </w:r>
            <w:r>
              <w:rPr>
                <w:sz w:val="13"/>
              </w:rPr>
              <w:t>[+8.9, +10.9]</w:t>
            </w:r>
          </w:p>
        </w:tc>
        <w:tc>
          <w:tcPr>
            <w:tcW w:type="dxa" w:w="1531"/>
          </w:tcPr>
          <w:p>
            <w:pPr>
              <w:pStyle w:val="TableCell"/>
              <w:spacing w:before="0" w:after="0" w:line="240" w:lineRule="auto"/>
              <w:ind w:firstLine="0" w:left="0" w:right="0"/>
              <w:jc w:val="center"/>
            </w:pPr>
            <w:r>
              <w:rPr>
                <w:sz w:val="13"/>
              </w:rPr>
              <w:t>-8.8</w:t>
            </w:r>
            <w:r>
              <w:br/>
            </w:r>
            <w:r>
              <w:rPr>
                <w:sz w:val="13"/>
              </w:rPr>
              <w:t>[-12.6, -5.1]</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best single method of previous window</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rule by ADI–CV² class</w:t>
            </w:r>
          </w:p>
        </w:tc>
        <w:tc>
          <w:tcPr>
            <w:tcW w:type="dxa" w:w="1531"/>
          </w:tcPr>
          <w:p>
            <w:pPr>
              <w:pStyle w:val="TableCell"/>
              <w:spacing w:before="0" w:after="0" w:line="240" w:lineRule="auto"/>
              <w:ind w:firstLine="0" w:left="0" w:right="0"/>
              <w:jc w:val="center"/>
            </w:pPr>
            <w:r>
              <w:rPr>
                <w:sz w:val="13"/>
              </w:rPr>
              <w:t>+0.1</w:t>
            </w:r>
            <w:r>
              <w:br/>
            </w:r>
            <w:r>
              <w:rPr>
                <w:sz w:val="13"/>
              </w:rPr>
              <w:t>[-0.0, +0.2]</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-5.6</w:t>
            </w:r>
            <w:r>
              <w:br/>
            </w:r>
            <w:r>
              <w:rPr>
                <w:sz w:val="13"/>
              </w:rPr>
              <w:t>[-8.1, -3.9]</w:t>
            </w:r>
          </w:p>
        </w:tc>
        <w:tc>
          <w:tcPr>
            <w:tcW w:type="dxa" w:w="1531"/>
          </w:tcPr>
          <w:p>
            <w:pPr>
              <w:pStyle w:val="TableCell"/>
              <w:spacing w:before="0" w:after="0" w:line="240" w:lineRule="auto"/>
              <w:ind w:firstLine="0" w:left="0" w:right="0"/>
              <w:jc w:val="center"/>
            </w:pPr>
            <w:r>
              <w:rPr>
                <w:sz w:val="13"/>
              </w:rPr>
              <w:t>+5.1</w:t>
            </w:r>
            <w:r>
              <w:br/>
            </w:r>
            <w:r>
              <w:rPr>
                <w:sz w:val="13"/>
              </w:rPr>
              <w:t>[-0.3, +10.2]</w:t>
            </w:r>
          </w:p>
        </w:tc>
      </w:tr>
      <w:tr>
        <w:tc>
          <w:tcPr>
            <w:tcW w:type="dxa" w:w="2608"/>
          </w:tcPr>
          <w:p>
            <w:pPr>
              <w:pStyle w:val="TableCell"/>
              <w:spacing w:before="0" w:after="0" w:line="240" w:lineRule="auto"/>
              <w:ind w:firstLine="0" w:left="0" w:right="0"/>
              <w:jc w:val="left"/>
            </w:pPr>
            <w:r>
              <w:rPr>
                <w:sz w:val="13"/>
              </w:rPr>
              <w:t>rule by segment</w:t>
            </w:r>
          </w:p>
        </w:tc>
        <w:tc>
          <w:tcPr>
            <w:tcW w:type="dxa" w:w="1531"/>
          </w:tcPr>
          <w:p>
            <w:pPr>
              <w:pStyle w:val="TableCell"/>
              <w:spacing w:before="0" w:after="0" w:line="240" w:lineRule="auto"/>
              <w:ind w:firstLine="0" w:left="0" w:right="0"/>
              <w:jc w:val="center"/>
            </w:pPr>
            <w:r>
              <w:rPr>
                <w:sz w:val="13"/>
              </w:rPr>
              <w:t>+0.1</w:t>
            </w:r>
            <w:r>
              <w:br/>
            </w:r>
            <w:r>
              <w:rPr>
                <w:sz w:val="13"/>
              </w:rPr>
              <w:t>[-0.1, +0.3]</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-0.1</w:t>
            </w:r>
            <w:r>
              <w:br/>
            </w:r>
            <w:r>
              <w:rPr>
                <w:sz w:val="13"/>
              </w:rPr>
              <w:t>[-0.7, +0.5]</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rule by class × segment</w:t>
            </w:r>
          </w:p>
        </w:tc>
        <w:tc>
          <w:tcPr>
            <w:tcW w:type="dxa" w:w="1531"/>
          </w:tcPr>
          <w:p>
            <w:pPr>
              <w:pStyle w:val="TableCell"/>
              <w:spacing w:before="0" w:after="0" w:line="240" w:lineRule="auto"/>
              <w:ind w:firstLine="0" w:left="0" w:right="0"/>
              <w:jc w:val="center"/>
            </w:pPr>
            <w:r>
              <w:rPr>
                <w:sz w:val="13"/>
              </w:rPr>
              <w:t>+0.1</w:t>
            </w:r>
            <w:r>
              <w:br/>
            </w:r>
            <w:r>
              <w:rPr>
                <w:sz w:val="13"/>
              </w:rPr>
              <w:t>[-0.0, +0.3]</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-5.6</w:t>
            </w:r>
            <w:r>
              <w:br/>
            </w:r>
            <w:r>
              <w:rPr>
                <w:sz w:val="13"/>
              </w:rPr>
              <w:t>[-8.1, -3.8]</w:t>
            </w:r>
          </w:p>
        </w:tc>
        <w:tc>
          <w:tcPr>
            <w:tcW w:type="dxa" w:w="1531"/>
          </w:tcPr>
          <w:p>
            <w:pPr>
              <w:pStyle w:val="TableCell"/>
              <w:spacing w:before="0" w:after="0" w:line="240" w:lineRule="auto"/>
              <w:ind w:firstLine="0" w:left="0" w:right="0"/>
              <w:jc w:val="center"/>
            </w:pPr>
            <w:r>
              <w:rPr>
                <w:sz w:val="13"/>
              </w:rPr>
              <w:t>+4.8</w:t>
            </w:r>
            <w:r>
              <w:br/>
            </w:r>
            <w:r>
              <w:rPr>
                <w:sz w:val="13"/>
              </w:rPr>
              <w:t>[-0.1, +12.0]</w:t>
            </w:r>
          </w:p>
        </w:tc>
      </w:tr>
      <w:tr>
        <w:tc>
          <w:tcPr>
            <w:tcW w:type="dxa" w:w="2608"/>
          </w:tcPr>
          <w:p>
            <w:pPr>
              <w:pStyle w:val="TableCell"/>
              <w:spacing w:before="0" w:after="0" w:line="240" w:lineRule="auto"/>
              <w:ind w:firstLine="0" w:left="0" w:right="0"/>
              <w:jc w:val="left"/>
            </w:pPr>
            <w:r>
              <w:rPr>
                <w:sz w:val="13"/>
              </w:rPr>
              <w:t>oracle by segment (not usable)</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-8.9</w:t>
            </w:r>
            <w:r>
              <w:br/>
            </w:r>
            <w:r>
              <w:rPr>
                <w:sz w:val="13"/>
              </w:rPr>
              <w:t>[-12.8, -5.2]</w:t>
            </w:r>
          </w:p>
        </w:tc>
        <w:tc>
          <w:tcPr>
            <w:tcW w:type="dxa" w:w="1531"/>
          </w:tcPr>
          <w:p>
            <w:pPr>
              <w:pStyle w:val="TableCell"/>
              <w:spacing w:before="0" w:after="0" w:line="240" w:lineRule="auto"/>
              <w:ind w:firstLine="0" w:left="0" w:right="0"/>
              <w:jc w:val="center"/>
            </w:pPr>
            <w:r>
              <w:rPr>
                <w:sz w:val="13"/>
              </w:rPr>
              <w:t>+0.0</w:t>
            </w:r>
            <w:r>
              <w:br/>
            </w:r>
            <w:r>
              <w:rPr>
                <w:sz w:val="13"/>
              </w:rPr>
              <w:t>[+0.0, +0.0]</w:t>
            </w:r>
          </w:p>
        </w:tc>
      </w:tr>
    </w:tbl>
    <w:p>
      <w:pPr>
        <w:pStyle w:val="Para"/>
      </w:pPr>
      <w:r>
        <w:t>If growth were predictable from a series' history, a method could be chosen per group of series. Besides the ADI–CV² classes, we clustered the series of both datasets on eight pre-test features (level, order size, ADI, CV², weeks since the last sale, trend, recent relative level, peak size), fitted on the earliest window and applied unchanged later. A three-component Gaussian mixture (regular, fading and sparse segments) was selected among K-means and mixture models by criteria fixed in advance. It is stable (adjusted Rand index 0.94 between refits) but not well separated (silhouette 0.21).</w:t>
      </w:r>
    </w:p>
    <w:p>
      <w:pPr>
        <w:pStyle w:val="Para"/>
      </w:pPr>
      <w:r>
        <w:t>Neither grouping helps to choose a method (Table 5). A rule that assigns each group the method that was most inventory-efficient for it in the previous window stays within 0.3% of LGB-Q on M5. On VN1 it saves 5.6% and then costs 5.1% with the classes, and saves nothing and then costs 10.5% with the segments. Even an oracle that knows the best method of each segment in the test window does no better than the best single method of that window, because within a window the same method leads in every segment. The reason is that the share of series that will grow is almost the same in every group: 18–31% in the three segments and 14–39% in the four ADI–CV² classes on VN1. Growth is only partly predictable even by a supervised model (AUC 0.72–0.73 on VN1).</w:t>
      </w:r>
    </w:p>
    <w:p>
      <w:pPr>
        <w:pStyle w:val="Head2"/>
      </w:pPr>
      <w:r>
        <w:t>A combination hedges between the leaders</w:t>
      </w:r>
    </w:p>
    <w:p>
      <w:pPr>
        <w:pStyle w:val="PostHeadPara"/>
      </w:pPr>
      <w:r>
        <w:t>LGB-Q and TSB-NB fail on different series of VN1, so we average their quantiles (C2). This needs no prediction of growth. The pair was chosen after observing that the two methods alternate as leaders, so the analysis is not fully out of sample. At a fill rate of 0.92, C2 needs 5.9%, 10.5% and 7.1% less inventory than LGB-Q on VN1 in the three windows, and every interval excludes zero; in the second window it matches TSB-NB. On M5 it stays within 1.5% of LGB-Q. Its wQL is slightly higher than that of LGB-Q. Adding HGB-Q gives similar results. In the main window C2 also needs 4.1% and 5.4% less inventory than LGB-Q on VN1 at a fill rate of 0.94 with lead times of one and four weeks.</w:t>
      </w:r>
    </w:p>
    <w:p>
      <w:pPr>
        <w:pStyle w:val="Head2"/>
      </w:pPr>
      <w:r>
        <w:t>Liquidation</w:t>
      </w:r>
    </w:p>
    <w:p>
      <w:pPr>
        <w:pStyle w:val="TableCaption"/>
      </w:pPr>
      <w:r>
        <w:t>Table 6: Liquidation policies with LGB-Q forecasts, default scenario, all series (main / second / third window). Inventory change and fill-rate change relative to no liquidation; stockout = change of the stockout rate on weeks with demand; s* = break-even salvage ratio (upper bound), range over holding cost 10–40%/year × margin 30–100% and the four ML models.</w:t>
      </w:r>
    </w:p>
    <w:tbl>
      <w:tblPr>
        <w:tblStyle w:val="affff1"/>
        <w:tblW w:type="auto" w:w="0"/>
        <w:jc w:val="center"/>
        <w:tblLayout w:type="fixed"/>
        <w:tblLook w:firstColumn="1" w:firstRow="1" w:lastColumn="0" w:lastRow="0" w:noHBand="0" w:noVBand="1" w:val="04A0"/>
        <w:tblCellMar>
          <w:left w:w="40" w:type="dxa"/>
          <w:right w:w="40" w:type="dxa"/>
        </w:tblCellMar>
      </w:tblPr>
      <w:tblGrid>
        <w:gridCol w:w="1251"/>
        <w:gridCol w:w="1251"/>
        <w:gridCol w:w="1251"/>
        <w:gridCol w:w="1251"/>
        <w:gridCol w:w="1251"/>
        <w:gridCol w:w="1251"/>
        <w:gridCol w:w="1251"/>
      </w:tblGrid>
      <w:tr>
        <w:tc>
          <w:tcPr>
            <w:tcW w:type="dxa" w:w="737"/>
          </w:tcPr>
          <w:p>
            <w:pPr>
              <w:pStyle w:val="TableCell"/>
              <w:spacing w:before="0" w:after="0" w:line="240" w:lineRule="auto"/>
              <w:ind w:firstLine="0" w:left="0" w:right="0"/>
              <w:jc w:val="left"/>
            </w:pPr>
            <w:r>
              <w:rPr>
                <w:b/>
                <w:sz w:val="13"/>
              </w:rPr>
              <w:t>Dataset</w:t>
            </w:r>
          </w:p>
        </w:tc>
        <w:tc>
          <w:tcPr>
            <w:tcW w:type="dxa" w:w="850"/>
          </w:tcPr>
          <w:p>
            <w:pPr>
              <w:pStyle w:val="TableCell"/>
              <w:spacing w:before="0" w:after="0" w:line="240" w:lineRule="auto"/>
              <w:ind w:firstLine="0" w:left="0" w:right="0"/>
              <w:jc w:val="center"/>
            </w:pPr>
            <w:r>
              <w:rPr>
                <w:b/>
                <w:sz w:val="13"/>
              </w:rPr>
              <w:t>Policy</w:t>
            </w:r>
          </w:p>
        </w:tc>
        <w:tc>
          <w:tcPr>
            <w:tcW w:type="dxa" w:w="1304"/>
          </w:tcPr>
          <w:p>
            <w:pPr>
              <w:pStyle w:val="TableCell"/>
              <w:spacing w:before="0" w:after="0" w:line="240" w:lineRule="auto"/>
              <w:ind w:firstLine="0" w:left="0" w:right="0"/>
              <w:jc w:val="center"/>
            </w:pPr>
            <w:r>
              <w:rPr>
                <w:b/>
                <w:sz w:val="13"/>
              </w:rPr>
              <w:t>% of demand liquidated</w:t>
            </w:r>
          </w:p>
        </w:tc>
        <w:tc>
          <w:tcPr>
            <w:tcW w:type="dxa" w:w="1417"/>
          </w:tcPr>
          <w:p>
            <w:pPr>
              <w:pStyle w:val="TableCell"/>
              <w:spacing w:before="0" w:after="0" w:line="240" w:lineRule="auto"/>
              <w:ind w:firstLine="0" w:left="0" w:right="0"/>
              <w:jc w:val="center"/>
            </w:pPr>
            <w:r>
              <w:rPr>
                <w:b/>
                <w:sz w:val="13"/>
              </w:rPr>
              <w:t>Inventory change</w:t>
            </w:r>
          </w:p>
        </w:tc>
        <w:tc>
          <w:tcPr>
            <w:tcW w:type="dxa" w:w="1417"/>
          </w:tcPr>
          <w:p>
            <w:pPr>
              <w:pStyle w:val="TableCell"/>
              <w:spacing w:before="0" w:after="0" w:line="240" w:lineRule="auto"/>
              <w:ind w:firstLine="0" w:left="0" w:right="0"/>
              <w:jc w:val="center"/>
            </w:pPr>
            <w:r>
              <w:rPr>
                <w:b/>
                <w:sz w:val="13"/>
              </w:rPr>
              <w:t>Fill rate change (pp)</w:t>
            </w:r>
          </w:p>
        </w:tc>
        <w:tc>
          <w:tcPr>
            <w:tcW w:type="dxa" w:w="1417"/>
          </w:tcPr>
          <w:p>
            <w:pPr>
              <w:pStyle w:val="TableCell"/>
              <w:spacing w:before="0" w:after="0" w:line="240" w:lineRule="auto"/>
              <w:ind w:firstLine="0" w:left="0" w:right="0"/>
              <w:jc w:val="center"/>
            </w:pPr>
            <w:r>
              <w:rPr>
                <w:b/>
                <w:sz w:val="13"/>
              </w:rPr>
              <w:t>Stockout rate change</w:t>
            </w:r>
          </w:p>
        </w:tc>
        <w:tc>
          <w:tcPr>
            <w:tcW w:type="dxa" w:w="1587"/>
          </w:tcPr>
          <w:p>
            <w:pPr>
              <w:pStyle w:val="TableCell"/>
              <w:spacing w:before="0" w:after="0" w:line="240" w:lineRule="auto"/>
              <w:ind w:firstLine="0" w:left="0" w:right="0"/>
              <w:jc w:val="center"/>
            </w:pPr>
            <w:r>
              <w:rPr>
                <w:b/>
                <w:sz w:val="13"/>
              </w:rPr>
              <w:t>s* range</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quantile</w:t>
            </w:r>
          </w:p>
        </w:tc>
        <w:tc>
          <w:tcPr>
            <w:tcW w:type="dxa" w:w="1304"/>
          </w:tcPr>
          <w:p>
            <w:pPr>
              <w:pStyle w:val="TableCell"/>
              <w:spacing w:before="0" w:after="0" w:line="240" w:lineRule="auto"/>
              <w:ind w:firstLine="0" w:left="0" w:right="0"/>
              <w:jc w:val="center"/>
            </w:pPr>
            <w:r>
              <w:rPr>
                <w:sz w:val="13"/>
              </w:rPr>
              <w:t>0.02</w:t>
            </w:r>
            <w:r>
              <w:br/>
            </w:r>
            <w:r>
              <w:rPr>
                <w:sz w:val="13"/>
              </w:rPr>
              <w:t>0.01</w:t>
            </w:r>
            <w:r>
              <w:br/>
            </w:r>
            <w:r>
              <w:rPr>
                <w:sz w:val="13"/>
              </w:rPr>
              <w:t>0.02</w:t>
            </w:r>
          </w:p>
        </w:tc>
        <w:tc>
          <w:tcPr>
            <w:tcW w:type="dxa" w:w="1417"/>
          </w:tcPr>
          <w:p>
            <w:pPr>
              <w:pStyle w:val="TableCell"/>
              <w:spacing w:before="0" w:after="0" w:line="240" w:lineRule="auto"/>
              <w:ind w:firstLine="0" w:left="0" w:right="0"/>
              <w:jc w:val="center"/>
            </w:pPr>
            <w:r>
              <w:rPr>
                <w:sz w:val="13"/>
              </w:rPr>
              <w:t>-0.1%</w:t>
            </w:r>
            <w:r>
              <w:br/>
            </w:r>
            <w:r>
              <w:rPr>
                <w:sz w:val="13"/>
              </w:rPr>
              <w:t>-0.1%</w:t>
            </w:r>
            <w:r>
              <w:br/>
            </w:r>
            <w:r>
              <w:rPr>
                <w:sz w:val="13"/>
              </w:rPr>
              <w:t>-0.2%</w:t>
            </w:r>
          </w:p>
        </w:tc>
        <w:tc>
          <w:tcPr>
            <w:tcW w:type="dxa" w:w="1417"/>
          </w:tcPr>
          <w:p>
            <w:pPr>
              <w:pStyle w:val="TableCell"/>
              <w:spacing w:before="0" w:after="0" w:line="240" w:lineRule="auto"/>
              <w:ind w:firstLine="0" w:left="0" w:right="0"/>
              <w:jc w:val="center"/>
            </w:pPr>
            <w:r>
              <w:rPr>
                <w:sz w:val="13"/>
              </w:rPr>
              <w:t>-0.00</w:t>
            </w:r>
            <w:r>
              <w:br/>
            </w:r>
            <w:r>
              <w:rPr>
                <w:sz w:val="13"/>
              </w:rPr>
              <w:t>-0.00</w:t>
            </w:r>
            <w:r>
              <w:br/>
            </w:r>
            <w:r>
              <w:rPr>
                <w:sz w:val="13"/>
              </w:rPr>
              <w:t>-0.00</w:t>
            </w:r>
          </w:p>
        </w:tc>
        <w:tc>
          <w:tcPr>
            <w:tcW w:type="dxa" w:w="1417"/>
          </w:tcPr>
          <w:p>
            <w:pPr>
              <w:pStyle w:val="TableCell"/>
              <w:spacing w:before="0" w:after="0" w:line="240" w:lineRule="auto"/>
              <w:ind w:firstLine="0" w:left="0" w:right="0"/>
              <w:jc w:val="center"/>
            </w:pPr>
            <w:r>
              <w:rPr>
                <w:sz w:val="13"/>
              </w:rPr>
              <w:t>+0%</w:t>
            </w:r>
            <w:r>
              <w:br/>
            </w:r>
            <w:r>
              <w:rPr>
                <w:sz w:val="13"/>
              </w:rPr>
              <w:t>+0%</w:t>
            </w:r>
            <w:r>
              <w:br/>
            </w:r>
            <w:r>
              <w:rPr>
                <w:sz w:val="13"/>
              </w:rPr>
              <w:t>+0%</w:t>
            </w:r>
          </w:p>
        </w:tc>
        <w:tc>
          <w:tcPr>
            <w:tcW w:type="dxa" w:w="1587"/>
          </w:tcPr>
          <w:p>
            <w:pPr>
              <w:pStyle w:val="TableCell"/>
              <w:spacing w:before="0" w:after="0" w:line="240" w:lineRule="auto"/>
              <w:ind w:firstLine="0" w:left="0" w:right="0"/>
              <w:jc w:val="center"/>
            </w:pPr>
            <w:r>
              <w:rPr>
                <w:sz w:val="13"/>
              </w:rPr>
              <w:t>unstable (few units)</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fixed</w:t>
            </w:r>
          </w:p>
        </w:tc>
        <w:tc>
          <w:tcPr>
            <w:tcW w:type="dxa" w:w="1304"/>
          </w:tcPr>
          <w:p>
            <w:pPr>
              <w:pStyle w:val="TableCell"/>
              <w:spacing w:before="0" w:after="0" w:line="240" w:lineRule="auto"/>
              <w:ind w:firstLine="0" w:left="0" w:right="0"/>
              <w:jc w:val="center"/>
            </w:pPr>
            <w:r>
              <w:rPr>
                <w:sz w:val="13"/>
              </w:rPr>
              <w:t>0.79</w:t>
            </w:r>
            <w:r>
              <w:br/>
            </w:r>
            <w:r>
              <w:rPr>
                <w:sz w:val="13"/>
              </w:rPr>
              <w:t>1.08</w:t>
            </w:r>
            <w:r>
              <w:br/>
            </w:r>
            <w:r>
              <w:rPr>
                <w:sz w:val="13"/>
              </w:rPr>
              <w:t>1.21</w:t>
            </w:r>
          </w:p>
        </w:tc>
        <w:tc>
          <w:tcPr>
            <w:tcW w:type="dxa" w:w="1417"/>
          </w:tcPr>
          <w:p>
            <w:pPr>
              <w:pStyle w:val="TableCell"/>
              <w:spacing w:before="0" w:after="0" w:line="240" w:lineRule="auto"/>
              <w:ind w:firstLine="0" w:left="0" w:right="0"/>
              <w:jc w:val="center"/>
            </w:pPr>
            <w:r>
              <w:rPr>
                <w:sz w:val="13"/>
              </w:rPr>
              <w:t>-2.3%</w:t>
            </w:r>
            <w:r>
              <w:br/>
            </w:r>
            <w:r>
              <w:rPr>
                <w:sz w:val="13"/>
              </w:rPr>
              <w:t>-3.0%</w:t>
            </w:r>
            <w:r>
              <w:br/>
            </w:r>
            <w:r>
              <w:rPr>
                <w:sz w:val="13"/>
              </w:rPr>
              <w:t>-2.7%</w:t>
            </w:r>
          </w:p>
        </w:tc>
        <w:tc>
          <w:tcPr>
            <w:tcW w:type="dxa" w:w="1417"/>
          </w:tcPr>
          <w:p>
            <w:pPr>
              <w:pStyle w:val="TableCell"/>
              <w:spacing w:before="0" w:after="0" w:line="240" w:lineRule="auto"/>
              <w:ind w:firstLine="0" w:left="0" w:right="0"/>
              <w:jc w:val="center"/>
            </w:pPr>
            <w:r>
              <w:rPr>
                <w:sz w:val="13"/>
              </w:rPr>
              <w:t>-0.29</w:t>
            </w:r>
            <w:r>
              <w:br/>
            </w:r>
            <w:r>
              <w:rPr>
                <w:sz w:val="13"/>
              </w:rPr>
              <w:t>-0.20</w:t>
            </w:r>
            <w:r>
              <w:br/>
            </w:r>
            <w:r>
              <w:rPr>
                <w:sz w:val="13"/>
              </w:rPr>
              <w:t>-0.29</w:t>
            </w:r>
          </w:p>
        </w:tc>
        <w:tc>
          <w:tcPr>
            <w:tcW w:type="dxa" w:w="1417"/>
          </w:tcPr>
          <w:p>
            <w:pPr>
              <w:pStyle w:val="TableCell"/>
              <w:spacing w:before="0" w:after="0" w:line="240" w:lineRule="auto"/>
              <w:ind w:firstLine="0" w:left="0" w:right="0"/>
              <w:jc w:val="center"/>
            </w:pPr>
            <w:r>
              <w:rPr>
                <w:sz w:val="13"/>
              </w:rPr>
              <w:t>+7%</w:t>
            </w:r>
            <w:r>
              <w:br/>
            </w:r>
            <w:r>
              <w:rPr>
                <w:sz w:val="13"/>
              </w:rPr>
              <w:t>+5%</w:t>
            </w:r>
            <w:r>
              <w:br/>
            </w:r>
            <w:r>
              <w:rPr>
                <w:sz w:val="13"/>
              </w:rPr>
              <w:t>+7%</w:t>
            </w:r>
          </w:p>
        </w:tc>
        <w:tc>
          <w:tcPr>
            <w:tcW w:type="dxa" w:w="1587"/>
          </w:tcPr>
          <w:p>
            <w:pPr>
              <w:pStyle w:val="TableCell"/>
              <w:spacing w:before="0" w:after="0" w:line="240" w:lineRule="auto"/>
              <w:ind w:firstLine="0" w:left="0" w:right="0"/>
              <w:jc w:val="center"/>
            </w:pPr>
            <w:r>
              <w:rPr>
                <w:sz w:val="13"/>
              </w:rPr>
              <w:t>1.06–1.32</w:t>
            </w:r>
            <w:r>
              <w:br/>
            </w:r>
            <w:r>
              <w:rPr>
                <w:sz w:val="13"/>
              </w:rPr>
              <w:t>1.01–1.18</w:t>
            </w:r>
            <w:r>
              <w:br/>
            </w:r>
            <w:r>
              <w:rPr>
                <w:sz w:val="13"/>
              </w:rPr>
              <w:t>1.03–1.23</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dead13</w:t>
            </w:r>
          </w:p>
        </w:tc>
        <w:tc>
          <w:tcPr>
            <w:tcW w:type="dxa" w:w="1304"/>
          </w:tcPr>
          <w:p>
            <w:pPr>
              <w:pStyle w:val="TableCell"/>
              <w:spacing w:before="0" w:after="0" w:line="240" w:lineRule="auto"/>
              <w:ind w:firstLine="0" w:left="0" w:right="0"/>
              <w:jc w:val="center"/>
            </w:pPr>
            <w:r>
              <w:rPr>
                <w:sz w:val="13"/>
              </w:rPr>
              <w:t>0.67</w:t>
            </w:r>
            <w:r>
              <w:br/>
            </w:r>
            <w:r>
              <w:rPr>
                <w:sz w:val="13"/>
              </w:rPr>
              <w:t>0.82</w:t>
            </w:r>
            <w:r>
              <w:br/>
            </w:r>
            <w:r>
              <w:rPr>
                <w:sz w:val="13"/>
              </w:rPr>
              <w:t>0.90</w:t>
            </w:r>
          </w:p>
        </w:tc>
        <w:tc>
          <w:tcPr>
            <w:tcW w:type="dxa" w:w="1417"/>
          </w:tcPr>
          <w:p>
            <w:pPr>
              <w:pStyle w:val="TableCell"/>
              <w:spacing w:before="0" w:after="0" w:line="240" w:lineRule="auto"/>
              <w:ind w:firstLine="0" w:left="0" w:right="0"/>
              <w:jc w:val="center"/>
            </w:pPr>
            <w:r>
              <w:rPr>
                <w:sz w:val="13"/>
              </w:rPr>
              <w:t>-2.5%</w:t>
            </w:r>
            <w:r>
              <w:br/>
            </w:r>
            <w:r>
              <w:rPr>
                <w:sz w:val="13"/>
              </w:rPr>
              <w:t>-4.9%</w:t>
            </w:r>
            <w:r>
              <w:br/>
            </w:r>
            <w:r>
              <w:rPr>
                <w:sz w:val="13"/>
              </w:rPr>
              <w:t>-3.3%</w:t>
            </w:r>
          </w:p>
        </w:tc>
        <w:tc>
          <w:tcPr>
            <w:tcW w:type="dxa" w:w="1417"/>
          </w:tcPr>
          <w:p>
            <w:pPr>
              <w:pStyle w:val="TableCell"/>
              <w:spacing w:before="0" w:after="0" w:line="240" w:lineRule="auto"/>
              <w:ind w:firstLine="0" w:left="0" w:right="0"/>
              <w:jc w:val="center"/>
            </w:pPr>
            <w:r>
              <w:rPr>
                <w:sz w:val="13"/>
              </w:rPr>
              <w:t>-0.65</w:t>
            </w:r>
            <w:r>
              <w:br/>
            </w:r>
            <w:r>
              <w:rPr>
                <w:sz w:val="13"/>
              </w:rPr>
              <w:t>-0.46</w:t>
            </w:r>
            <w:r>
              <w:br/>
            </w:r>
            <w:r>
              <w:rPr>
                <w:sz w:val="13"/>
              </w:rPr>
              <w:t>-0.54</w:t>
            </w:r>
          </w:p>
        </w:tc>
        <w:tc>
          <w:tcPr>
            <w:tcW w:type="dxa" w:w="1417"/>
          </w:tcPr>
          <w:p>
            <w:pPr>
              <w:pStyle w:val="TableCell"/>
              <w:spacing w:before="0" w:after="0" w:line="240" w:lineRule="auto"/>
              <w:ind w:firstLine="0" w:left="0" w:right="0"/>
              <w:jc w:val="center"/>
            </w:pPr>
            <w:r>
              <w:rPr>
                <w:sz w:val="13"/>
              </w:rPr>
              <w:t>+13%</w:t>
            </w:r>
            <w:r>
              <w:br/>
            </w:r>
            <w:r>
              <w:rPr>
                <w:sz w:val="13"/>
              </w:rPr>
              <w:t>+10%</w:t>
            </w:r>
            <w:r>
              <w:br/>
            </w:r>
            <w:r>
              <w:rPr>
                <w:sz w:val="13"/>
              </w:rPr>
              <w:t>+13%</w:t>
            </w:r>
          </w:p>
        </w:tc>
        <w:tc>
          <w:tcPr>
            <w:tcW w:type="dxa" w:w="1587"/>
          </w:tcPr>
          <w:p>
            <w:pPr>
              <w:pStyle w:val="TableCell"/>
              <w:spacing w:before="0" w:after="0" w:line="240" w:lineRule="auto"/>
              <w:ind w:firstLine="0" w:left="0" w:right="0"/>
              <w:jc w:val="center"/>
            </w:pPr>
            <w:r>
              <w:rPr>
                <w:sz w:val="13"/>
              </w:rPr>
              <w:t>1.35–2.08</w:t>
            </w:r>
            <w:r>
              <w:br/>
            </w:r>
            <w:r>
              <w:rPr>
                <w:sz w:val="13"/>
              </w:rPr>
              <w:t>1.21–1.66</w:t>
            </w:r>
            <w:r>
              <w:br/>
            </w:r>
            <w:r>
              <w:rPr>
                <w:sz w:val="13"/>
              </w:rPr>
              <w:t>1.19–1.70</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quantile</w:t>
            </w:r>
          </w:p>
        </w:tc>
        <w:tc>
          <w:tcPr>
            <w:tcW w:type="dxa" w:w="1304"/>
          </w:tcPr>
          <w:p>
            <w:pPr>
              <w:pStyle w:val="TableCell"/>
              <w:spacing w:before="0" w:after="0" w:line="240" w:lineRule="auto"/>
              <w:ind w:firstLine="0" w:left="0" w:right="0"/>
              <w:jc w:val="center"/>
            </w:pPr>
            <w:r>
              <w:rPr>
                <w:sz w:val="13"/>
              </w:rPr>
              <w:t>1.18</w:t>
            </w:r>
            <w:r>
              <w:br/>
            </w:r>
            <w:r>
              <w:rPr>
                <w:sz w:val="13"/>
              </w:rPr>
              <w:t>0.27</w:t>
            </w:r>
            <w:r>
              <w:br/>
            </w:r>
            <w:r>
              <w:rPr>
                <w:sz w:val="13"/>
              </w:rPr>
              <w:t>1.74</w:t>
            </w:r>
          </w:p>
        </w:tc>
        <w:tc>
          <w:tcPr>
            <w:tcW w:type="dxa" w:w="1417"/>
          </w:tcPr>
          <w:p>
            <w:pPr>
              <w:pStyle w:val="TableCell"/>
              <w:spacing w:before="0" w:after="0" w:line="240" w:lineRule="auto"/>
              <w:ind w:firstLine="0" w:left="0" w:right="0"/>
              <w:jc w:val="center"/>
            </w:pPr>
            <w:r>
              <w:rPr>
                <w:sz w:val="13"/>
              </w:rPr>
              <w:t>-4.3%</w:t>
            </w:r>
            <w:r>
              <w:br/>
            </w:r>
            <w:r>
              <w:rPr>
                <w:sz w:val="13"/>
              </w:rPr>
              <w:t>-1.7%</w:t>
            </w:r>
            <w:r>
              <w:br/>
            </w:r>
            <w:r>
              <w:rPr>
                <w:sz w:val="13"/>
              </w:rPr>
              <w:t>-7.4%</w:t>
            </w:r>
          </w:p>
        </w:tc>
        <w:tc>
          <w:tcPr>
            <w:tcW w:type="dxa" w:w="1417"/>
          </w:tcPr>
          <w:p>
            <w:pPr>
              <w:pStyle w:val="TableCell"/>
              <w:spacing w:before="0" w:after="0" w:line="240" w:lineRule="auto"/>
              <w:ind w:firstLine="0" w:left="0" w:right="0"/>
              <w:jc w:val="center"/>
            </w:pPr>
            <w:r>
              <w:rPr>
                <w:sz w:val="13"/>
              </w:rPr>
              <w:t>-0.02</w:t>
            </w:r>
            <w:r>
              <w:br/>
            </w:r>
            <w:r>
              <w:rPr>
                <w:sz w:val="13"/>
              </w:rPr>
              <w:t>-0.02</w:t>
            </w:r>
            <w:r>
              <w:br/>
            </w:r>
            <w:r>
              <w:rPr>
                <w:sz w:val="13"/>
              </w:rPr>
              <w:t>-0.02</w:t>
            </w:r>
          </w:p>
        </w:tc>
        <w:tc>
          <w:tcPr>
            <w:tcW w:type="dxa" w:w="1417"/>
          </w:tcPr>
          <w:p>
            <w:pPr>
              <w:pStyle w:val="TableCell"/>
              <w:spacing w:before="0" w:after="0" w:line="240" w:lineRule="auto"/>
              <w:ind w:firstLine="0" w:left="0" w:right="0"/>
              <w:jc w:val="center"/>
            </w:pPr>
            <w:r>
              <w:rPr>
                <w:sz w:val="13"/>
              </w:rPr>
              <w:t>+0%</w:t>
            </w:r>
            <w:r>
              <w:br/>
            </w:r>
            <w:r>
              <w:rPr>
                <w:sz w:val="13"/>
              </w:rPr>
              <w:t>+1%</w:t>
            </w:r>
            <w:r>
              <w:br/>
            </w:r>
            <w:r>
              <w:rPr>
                <w:sz w:val="13"/>
              </w:rPr>
              <w:t>+0%</w:t>
            </w:r>
          </w:p>
        </w:tc>
        <w:tc>
          <w:tcPr>
            <w:tcW w:type="dxa" w:w="1587"/>
          </w:tcPr>
          <w:p>
            <w:pPr>
              <w:pStyle w:val="TableCell"/>
              <w:spacing w:before="0" w:after="0" w:line="240" w:lineRule="auto"/>
              <w:ind w:firstLine="0" w:left="0" w:right="0"/>
              <w:jc w:val="center"/>
            </w:pPr>
            <w:r>
              <w:rPr>
                <w:sz w:val="13"/>
              </w:rPr>
              <w:t>0.91–1.04</w:t>
            </w:r>
            <w:r>
              <w:br/>
            </w:r>
            <w:r>
              <w:rPr>
                <w:sz w:val="13"/>
              </w:rPr>
              <w:t>0.92–1.21</w:t>
            </w:r>
            <w:r>
              <w:br/>
            </w:r>
            <w:r>
              <w:rPr>
                <w:sz w:val="13"/>
              </w:rPr>
              <w:t>0.91–1.04</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fixed</w:t>
            </w:r>
          </w:p>
        </w:tc>
        <w:tc>
          <w:tcPr>
            <w:tcW w:type="dxa" w:w="1304"/>
          </w:tcPr>
          <w:p>
            <w:pPr>
              <w:pStyle w:val="TableCell"/>
              <w:spacing w:before="0" w:after="0" w:line="240" w:lineRule="auto"/>
              <w:ind w:firstLine="0" w:left="0" w:right="0"/>
              <w:jc w:val="center"/>
            </w:pPr>
            <w:r>
              <w:rPr>
                <w:sz w:val="13"/>
              </w:rPr>
              <w:t>2.76</w:t>
            </w:r>
            <w:r>
              <w:br/>
            </w:r>
            <w:r>
              <w:rPr>
                <w:sz w:val="13"/>
              </w:rPr>
              <w:t>1.47</w:t>
            </w:r>
            <w:r>
              <w:br/>
            </w:r>
            <w:r>
              <w:rPr>
                <w:sz w:val="13"/>
              </w:rPr>
              <w:t>1.91</w:t>
            </w:r>
          </w:p>
        </w:tc>
        <w:tc>
          <w:tcPr>
            <w:tcW w:type="dxa" w:w="1417"/>
          </w:tcPr>
          <w:p>
            <w:pPr>
              <w:pStyle w:val="TableCell"/>
              <w:spacing w:before="0" w:after="0" w:line="240" w:lineRule="auto"/>
              <w:ind w:firstLine="0" w:left="0" w:right="0"/>
              <w:jc w:val="center"/>
            </w:pPr>
            <w:r>
              <w:rPr>
                <w:sz w:val="13"/>
              </w:rPr>
              <w:t>-6.1%</w:t>
            </w:r>
            <w:r>
              <w:br/>
            </w:r>
            <w:r>
              <w:rPr>
                <w:sz w:val="13"/>
              </w:rPr>
              <w:t>-5.0%</w:t>
            </w:r>
            <w:r>
              <w:br/>
            </w:r>
            <w:r>
              <w:rPr>
                <w:sz w:val="13"/>
              </w:rPr>
              <w:t>-4.4%</w:t>
            </w:r>
          </w:p>
        </w:tc>
        <w:tc>
          <w:tcPr>
            <w:tcW w:type="dxa" w:w="1417"/>
          </w:tcPr>
          <w:p>
            <w:pPr>
              <w:pStyle w:val="TableCell"/>
              <w:spacing w:before="0" w:after="0" w:line="240" w:lineRule="auto"/>
              <w:ind w:firstLine="0" w:left="0" w:right="0"/>
              <w:jc w:val="center"/>
            </w:pPr>
            <w:r>
              <w:rPr>
                <w:sz w:val="13"/>
              </w:rPr>
              <w:t>-0.67</w:t>
            </w:r>
            <w:r>
              <w:br/>
            </w:r>
            <w:r>
              <w:rPr>
                <w:sz w:val="13"/>
              </w:rPr>
              <w:t>-0.11</w:t>
            </w:r>
            <w:r>
              <w:br/>
            </w:r>
            <w:r>
              <w:rPr>
                <w:sz w:val="13"/>
              </w:rPr>
              <w:t>-0.62</w:t>
            </w:r>
          </w:p>
        </w:tc>
        <w:tc>
          <w:tcPr>
            <w:tcW w:type="dxa" w:w="1417"/>
          </w:tcPr>
          <w:p>
            <w:pPr>
              <w:pStyle w:val="TableCell"/>
              <w:spacing w:before="0" w:after="0" w:line="240" w:lineRule="auto"/>
              <w:ind w:firstLine="0" w:left="0" w:right="0"/>
              <w:jc w:val="center"/>
            </w:pPr>
            <w:r>
              <w:rPr>
                <w:sz w:val="13"/>
              </w:rPr>
              <w:t>+20%</w:t>
            </w:r>
            <w:r>
              <w:br/>
            </w:r>
            <w:r>
              <w:rPr>
                <w:sz w:val="13"/>
              </w:rPr>
              <w:t>+18%</w:t>
            </w:r>
            <w:r>
              <w:br/>
            </w:r>
            <w:r>
              <w:rPr>
                <w:sz w:val="13"/>
              </w:rPr>
              <w:t>+17%</w:t>
            </w:r>
          </w:p>
        </w:tc>
        <w:tc>
          <w:tcPr>
            <w:tcW w:type="dxa" w:w="1587"/>
          </w:tcPr>
          <w:p>
            <w:pPr>
              <w:pStyle w:val="TableCell"/>
              <w:spacing w:before="0" w:after="0" w:line="240" w:lineRule="auto"/>
              <w:ind w:firstLine="0" w:left="0" w:right="0"/>
              <w:jc w:val="center"/>
            </w:pPr>
            <w:r>
              <w:rPr>
                <w:sz w:val="13"/>
              </w:rPr>
              <w:t>1.00–1.22</w:t>
            </w:r>
            <w:r>
              <w:br/>
            </w:r>
            <w:r>
              <w:rPr>
                <w:sz w:val="13"/>
              </w:rPr>
              <w:t>0.97–1.07</w:t>
            </w:r>
            <w:r>
              <w:br/>
            </w:r>
            <w:r>
              <w:rPr>
                <w:sz w:val="13"/>
              </w:rPr>
              <w:t>1.03–1.29</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dead13</w:t>
            </w:r>
          </w:p>
        </w:tc>
        <w:tc>
          <w:tcPr>
            <w:tcW w:type="dxa" w:w="1304"/>
          </w:tcPr>
          <w:p>
            <w:pPr>
              <w:pStyle w:val="TableCell"/>
              <w:spacing w:before="0" w:after="0" w:line="240" w:lineRule="auto"/>
              <w:ind w:firstLine="0" w:left="0" w:right="0"/>
              <w:jc w:val="center"/>
            </w:pPr>
            <w:r>
              <w:rPr>
                <w:sz w:val="13"/>
              </w:rPr>
              <w:t>1.21</w:t>
            </w:r>
            <w:r>
              <w:br/>
            </w:r>
            <w:r>
              <w:rPr>
                <w:sz w:val="13"/>
              </w:rPr>
              <w:t>0.76</w:t>
            </w:r>
            <w:r>
              <w:br/>
            </w:r>
            <w:r>
              <w:rPr>
                <w:sz w:val="13"/>
              </w:rPr>
              <w:t>0.47</w:t>
            </w:r>
          </w:p>
        </w:tc>
        <w:tc>
          <w:tcPr>
            <w:tcW w:type="dxa" w:w="1417"/>
          </w:tcPr>
          <w:p>
            <w:pPr>
              <w:pStyle w:val="TableCell"/>
              <w:spacing w:before="0" w:after="0" w:line="240" w:lineRule="auto"/>
              <w:ind w:firstLine="0" w:left="0" w:right="0"/>
              <w:jc w:val="center"/>
            </w:pPr>
            <w:r>
              <w:rPr>
                <w:sz w:val="13"/>
              </w:rPr>
              <w:t>-4.0%</w:t>
            </w:r>
            <w:r>
              <w:br/>
            </w:r>
            <w:r>
              <w:rPr>
                <w:sz w:val="13"/>
              </w:rPr>
              <w:t>-3.8%</w:t>
            </w:r>
            <w:r>
              <w:br/>
            </w:r>
            <w:r>
              <w:rPr>
                <w:sz w:val="13"/>
              </w:rPr>
              <w:t>-2.3%</w:t>
            </w:r>
          </w:p>
        </w:tc>
        <w:tc>
          <w:tcPr>
            <w:tcW w:type="dxa" w:w="1417"/>
          </w:tcPr>
          <w:p>
            <w:pPr>
              <w:pStyle w:val="TableCell"/>
              <w:spacing w:before="0" w:after="0" w:line="240" w:lineRule="auto"/>
              <w:ind w:firstLine="0" w:left="0" w:right="0"/>
              <w:jc w:val="center"/>
            </w:pPr>
            <w:r>
              <w:rPr>
                <w:sz w:val="13"/>
              </w:rPr>
              <w:t>-0.09</w:t>
            </w:r>
            <w:r>
              <w:br/>
            </w:r>
            <w:r>
              <w:rPr>
                <w:sz w:val="13"/>
              </w:rPr>
              <w:t>-0.08</w:t>
            </w:r>
            <w:r>
              <w:br/>
            </w:r>
            <w:r>
              <w:rPr>
                <w:sz w:val="13"/>
              </w:rPr>
              <w:t>-0.07</w:t>
            </w:r>
          </w:p>
        </w:tc>
        <w:tc>
          <w:tcPr>
            <w:tcW w:type="dxa" w:w="1417"/>
          </w:tcPr>
          <w:p>
            <w:pPr>
              <w:pStyle w:val="TableCell"/>
              <w:spacing w:before="0" w:after="0" w:line="240" w:lineRule="auto"/>
              <w:ind w:firstLine="0" w:left="0" w:right="0"/>
              <w:jc w:val="center"/>
            </w:pPr>
            <w:r>
              <w:rPr>
                <w:sz w:val="13"/>
              </w:rPr>
              <w:t>+23%</w:t>
            </w:r>
            <w:r>
              <w:br/>
            </w:r>
            <w:r>
              <w:rPr>
                <w:sz w:val="13"/>
              </w:rPr>
              <w:t>+22%</w:t>
            </w:r>
            <w:r>
              <w:br/>
            </w:r>
            <w:r>
              <w:rPr>
                <w:sz w:val="13"/>
              </w:rPr>
              <w:t>+18%</w:t>
            </w:r>
          </w:p>
        </w:tc>
        <w:tc>
          <w:tcPr>
            <w:tcW w:type="dxa" w:w="1587"/>
          </w:tcPr>
          <w:p>
            <w:pPr>
              <w:pStyle w:val="TableCell"/>
              <w:spacing w:before="0" w:after="0" w:line="240" w:lineRule="auto"/>
              <w:ind w:firstLine="0" w:left="0" w:right="0"/>
              <w:jc w:val="center"/>
            </w:pPr>
            <w:r>
              <w:rPr>
                <w:sz w:val="13"/>
              </w:rPr>
              <w:t>1.03–1.37</w:t>
            </w:r>
            <w:r>
              <w:br/>
            </w:r>
            <w:r>
              <w:rPr>
                <w:sz w:val="13"/>
              </w:rPr>
              <w:t>1.06–1.32</w:t>
            </w:r>
            <w:r>
              <w:br/>
            </w:r>
            <w:r>
              <w:rPr>
                <w:sz w:val="13"/>
              </w:rPr>
              <w:t>1.16–1.60</w:t>
            </w:r>
          </w:p>
        </w:tc>
      </w:tr>
    </w:tbl>
    <w:p>
      <w:pPr>
        <w:pStyle w:val="Para"/>
      </w:pPr>
      <w:r>
        <w:t>With LGB-Q forecasts, the quantile rule costs 0.02 percentage points of fill rate or less in every window and dataset (Table 6). On M5 it almost never triggers; on VN1 it reduces inventory by 1.7–7.4%. The fixed rule and the dead-stock rule lose more service: they raise the stockout rate by 5–20% and 10–23%.</w:t>
      </w:r>
    </w:p>
    <w:p>
      <w:pPr>
        <w:pStyle w:val="Para"/>
      </w:pPr>
      <w:r>
        <w:t>No rule shows an economic benefit within 26 weeks. The break-even salvage ratio of the quantile rule on VN1 is 0.91–1.21 of unit cost, and that of the other rules is at or above 0.97.</w:t>
      </w:r>
    </w:p>
    <w:p>
      <w:pPr>
        <w:pStyle w:val="Head2"/>
      </w:pPr>
      <w:r>
        <w:t>Are the differences between the datasets artefacts?</w:t>
      </w:r>
    </w:p>
    <w:p>
      <w:pPr>
        <w:pStyle w:val="PostHeadPara"/>
      </w:pPr>
      <w:r>
        <w:t>We checked three possible artefacts (details in the repository). Re-weighting the VN1 series to match the feature distribution of M5 (mean standardised difference 0.32–0.39 reduced to 0.02–0.03) leaves the VN1 conclusions unchanged. Refitting the global models without price features on VN1, where prices are observed in less than half of the weeks, or on M5 with only the 21 features shared with VN1, changes the inventory needed by LGB-Q by less than 1% in every window. We therefore attribute the difference between the datasets to the retail settings rather than to data preparation.</w:t>
      </w:r>
    </w:p>
    <w:p>
      <w:pPr>
        <w:pStyle w:val="Head1"/>
      </w:pPr>
      <w:r>
        <w:t>Discussion</w:t>
      </w:r>
    </w:p>
    <w:p>
      <w:pPr>
        <w:pStyle w:val="PostHeadPara"/>
      </w:pPr>
      <w:r>
        <w:rPr>
          <w:b/>
        </w:rPr>
        <w:t>Compare at equal service level and over several periods.</w:t>
      </w:r>
      <w:r>
        <w:t xml:space="preserve"> At τ = 0.9 the methods reach fill rates between 0.935 and 0.967 on M5, because each calibrates its quantiles differently. Comparing inventory at equal τ rewards methods that under-cover; trade-off curves remove this effect without a cost assumption. A single test period would have given a confident but wrong answer on VN1 in either direction, which bears out the caution of [7] that a simulated year gives no guarantee for the next.</w:t>
      </w:r>
    </w:p>
    <w:p>
      <w:pPr>
        <w:pStyle w:val="Para"/>
      </w:pPr>
      <w:r>
        <w:rPr>
          <w:b/>
        </w:rPr>
        <w:t>On e-commerce data the best method depends on what demand will do.</w:t>
      </w:r>
      <w:r>
        <w:t xml:space="preserve"> A well-specified statistical model is the more economical choice for series that continue as before, and a global quantile model is the only one that copes with series that take off. This is consistent with [7], who find on M5 that the most accurate method need not be the best when lost-sales costs dominate, especially for intermittent products; our results add that the divergence depends on the period and that it is not visible on M5 at the service levels we studied. With perfect knowledge of which series grow, using a global model for them and TSB-NB for the others would need 5.6–9.8% less inventory than LGB-Q on VN1; a rule that predicts growth from pre-test features recovers part of this but is unstable (details in the repository). The combination C2 obtains similar savings without any prediction.</w:t>
      </w:r>
    </w:p>
    <w:p>
      <w:pPr>
        <w:pStyle w:val="Para"/>
      </w:pPr>
      <w:r>
        <w:rPr>
          <w:b/>
        </w:rPr>
        <w:t>Direct quantiles matter.</w:t>
      </w:r>
      <w:r>
        <w:t xml:space="preserve"> Many studies, including [7], derive quantiles from point forecasts and past errors. On M5 this costs 3.3–8.2% more inventory at a fill rate of 0.94 than direct quantiles from the same LightGBM model (LGB-T and LGB-C in Table 3), which, besides the daily product–state level, may explain why [7] found LightGBM less accurate than simpler methods except at the longest horizon. Similarly, simple empirical methods won in the 28-day daily simulation of [23] but EMP is among the least efficient methods here.</w:t>
      </w:r>
    </w:p>
    <w:p>
      <w:pPr>
        <w:pStyle w:val="Para"/>
      </w:pPr>
      <w:r>
        <w:rPr>
          <w:b/>
        </w:rPr>
        <w:t>C2 is the minimax-regret choice.</w:t>
      </w:r>
      <w:r>
        <w:t xml:space="preserve"> We define the regret of a method in one run (dataset and window) as its excess inventory over the best single method, averaged over the fill targets it reaches. Over the six runs the largest regret is 0.9% for C2 and 9.4% for LGB-Q, the best single method, followed by LGB-T (9.5%, but it misses the highest targets in every run), HGB-Q (11.4%) and TSB-NB (20.7%). Among the global models on VN1, however, the order of LGB-Q, LGB-C and HGB-Q is not robust: they change places when the price features are removed.</w:t>
      </w:r>
    </w:p>
    <w:p>
      <w:pPr>
        <w:pStyle w:val="Para"/>
      </w:pPr>
      <w:r>
        <w:rPr>
          <w:b/>
        </w:rPr>
        <w:t>Limitations.</w:t>
      </w:r>
      <w:r>
        <w:t xml:space="preserve"> Sales are used as demand, so historical stockouts are not visible. Unmet demand is lost and liquidation does not change demand. Hyper-parameters are not tuned, although the M5 conclusions hold under four LightGBM settings. At lead times of one and four weeks, checked in the main window only, the M5 conclusions hold at equal fill rate. The demand-shift analysis is ex post. Three windows per dataset are few; the consistency of method rankings between the two datasets is weak (Spearman correlation of frontier ranks 0.86, 0.29 and 0.61). In the repository only, a zero-shot Chronos-2 [22] was less accurate than LGB-Q on 69–73% of the VN1 series and never the most inventory-efficient method.</w:t>
      </w:r>
    </w:p>
    <w:p>
      <w:pPr>
        <w:pStyle w:val="Head1"/>
      </w:pPr>
      <w:r>
        <w:t>Conclusion</w:t>
      </w:r>
    </w:p>
    <w:p>
      <w:pPr>
        <w:pStyle w:val="PostHeadPara"/>
      </w:pPr>
      <w:r>
        <w:t>We benchmarked seven probabilistic forecasting methods inside one replenishment-and-liquidation policy on two public retail datasets and three test windows. On brick-and-mortar data (M5) the conclusion is stable: LightGBM quantile regression is the most accurate method and needs 3–11% less inventory than point forecasts with safety stock, conformal quantiles, TSB-NB and exponential smoothing at a fill rate of 0.94. On e-commerce data (VN1) the most inventory-efficient method changes with the period, because a statistical model is more economical for stable series while only the quantile model serves series whose demand grows sharply. Neither demand classes nor a segmentation anticipate this. Averaging the quantiles of LightGBM and TSB-NB hedges between them: it needs 6–11% less inventory than LightGBM on VN1 at a fill rate of 0.92 in every window and stays within 1.5% of it on M5. A quantile-based liquidation rule is safe for service, but within 26 weeks liquidation pays off only at salvage prices near unit cost. Future work should develop method switching by predicted demand growth, which gave promising but unstable first results, extend the horizon for liquidation, and test covariate-informed foundation models.</w:t>
      </w:r>
    </w:p>
    <w:p>
      <w:pPr>
        <w:pStyle w:val="ReferenceHead"/>
      </w:pPr>
      <w:r>
        <w:t>REFERENCES</w:t>
      </w:r>
    </w:p>
    <w:p>
      <w:pPr>
        <w:pStyle w:val="Bibentry"/>
      </w:pPr>
      <w:r>
        <w:t xml:space="preserve">S. Makridakis, E. Spiliotis, and V. Assimakopoulos. 2022. The M5 competition: Background, organization, and implementation. </w:t>
      </w:r>
      <w:r>
        <w:rPr>
          <w:i/>
        </w:rPr>
        <w:t>International Journal of Forecasting</w:t>
      </w:r>
      <w:r>
        <w:t xml:space="preserve"> 38, 4, 1325–1336. https://doi.org/10.1016/j.ijforecast.2021.07.007</w:t>
      </w:r>
    </w:p>
    <w:p>
      <w:pPr>
        <w:pStyle w:val="Bibentry"/>
      </w:pPr>
      <w:r>
        <w:t xml:space="preserve">S. Makridakis, E. Spiliotis, and V. Assimakopoulos. 2022. M5 accuracy competition: Results, findings, and conclusions. </w:t>
      </w:r>
      <w:r>
        <w:rPr>
          <w:i/>
        </w:rPr>
        <w:t>International Journal of Forecasting</w:t>
      </w:r>
      <w:r>
        <w:t xml:space="preserve"> 38, 4, 1346–1364. https://doi.org/10.1016/j.ijforecast.2021.11.013</w:t>
      </w:r>
    </w:p>
    <w:p>
      <w:pPr>
        <w:pStyle w:val="Bibentry"/>
      </w:pPr>
      <w:r>
        <w:t xml:space="preserve">S. Makridakis, E. Spiliotis, V. Assimakopoulos, Z. Chen, A. Gaba, I. Tsetlin, and R. L. Winkler. 2022. The M5 uncertainty competition: Results, findings and conclusions. </w:t>
      </w:r>
      <w:r>
        <w:rPr>
          <w:i/>
        </w:rPr>
        <w:t>International Journal of Forecasting</w:t>
      </w:r>
      <w:r>
        <w:t xml:space="preserve"> 38, 4, 1365–1385. https://doi.org/10.1016/j.ijforecast.2021.10.009</w:t>
      </w:r>
    </w:p>
    <w:p>
      <w:pPr>
        <w:pStyle w:val="Bibentry"/>
      </w:pPr>
      <w:r>
        <w:t>M. Zanotti. 2025. The cost of ensembling: Is it always worth combining? arXiv:2506.04677.</w:t>
      </w:r>
    </w:p>
    <w:p>
      <w:pPr>
        <w:pStyle w:val="Bibentry"/>
      </w:pPr>
      <w:r>
        <w:t>S. Wang, Y. Kang, E. Spiliotis, and F. Petropoulos. 2026. Multi-objective probabilistic forecast combination for inventory demand. arXiv:2606.04900.</w:t>
      </w:r>
    </w:p>
    <w:p>
      <w:pPr>
        <w:pStyle w:val="Bibentry"/>
      </w:pPr>
      <w:r>
        <w:t xml:space="preserve">T. E. Goltsos, A. A. Syntetos, C. H. Glock, and G. Ioannou. 2022. Inventory–forecasting: Mind the gap. </w:t>
      </w:r>
      <w:r>
        <w:rPr>
          <w:i/>
        </w:rPr>
        <w:t>European Journal of Operational Research</w:t>
      </w:r>
      <w:r>
        <w:t xml:space="preserve"> 299, 2, 397–419. https://doi.org/10.1016/j.ejor.2021.07.040</w:t>
      </w:r>
    </w:p>
    <w:p>
      <w:pPr>
        <w:pStyle w:val="Bibentry"/>
      </w:pPr>
      <w:r>
        <w:t xml:space="preserve">E. Theodorou, E. Spiliotis, and V. Assimakopoulos. 2025. Forecast accuracy and inventory performance: Insights on their relationship from the M5 competition data. </w:t>
      </w:r>
      <w:r>
        <w:rPr>
          <w:i/>
        </w:rPr>
        <w:t>European Journal of Operational Research</w:t>
      </w:r>
      <w:r>
        <w:t xml:space="preserve"> 322, 2, 414–426. https://doi.org/10.1016/j.ejor.2024.12.033</w:t>
      </w:r>
    </w:p>
    <w:p>
      <w:pPr>
        <w:pStyle w:val="Bibentry"/>
      </w:pPr>
      <w:r>
        <w:t xml:space="preserve">Z. Mohammed, C. Anas, and M. El Hammoumi. 2026. A hybrid learning framework for forecasting uncertainty and adaptive inventory planning in retail supply chains. </w:t>
      </w:r>
      <w:r>
        <w:rPr>
          <w:i/>
        </w:rPr>
        <w:t>Supply Chain Analytics</w:t>
      </w:r>
      <w:r>
        <w:t xml:space="preserve"> 13, 100180. https://doi.org/10.1016/j.sca.2025.100180</w:t>
      </w:r>
    </w:p>
    <w:p>
      <w:pPr>
        <w:pStyle w:val="Bibentry"/>
      </w:pPr>
      <w:r>
        <w:t xml:space="preserve">O. Zabraoui, Y. Hmamou, A. Chafi, and S. Kammouri Alami. 2025. A comparative study of multi-algorithm optimization for inventory analytics in supply chains. </w:t>
      </w:r>
      <w:r>
        <w:rPr>
          <w:i/>
        </w:rPr>
        <w:t>Supply Chain Analytics</w:t>
      </w:r>
      <w:r>
        <w:t xml:space="preserve"> 12, 100154. https://doi.org/10.1016/j.sca.2025.100154</w:t>
      </w:r>
    </w:p>
    <w:p>
      <w:pPr>
        <w:pStyle w:val="Bibentry"/>
      </w:pPr>
      <w:r>
        <w:t xml:space="preserve">R. H. Teunter, A. A. Syntetos, and M. Z. Babai. 2011. Intermittent demand: Linking forecasting to inventory obsolescence. </w:t>
      </w:r>
      <w:r>
        <w:rPr>
          <w:i/>
        </w:rPr>
        <w:t>European Journal of Operational Research</w:t>
      </w:r>
      <w:r>
        <w:t xml:space="preserve"> 214, 3, 606–615. https://doi.org/10.1016/j.ejor.2011.05.018</w:t>
      </w:r>
    </w:p>
    <w:p>
      <w:pPr>
        <w:pStyle w:val="Bibentry"/>
      </w:pPr>
      <w:r>
        <w:t xml:space="preserve">A. A. Syntetos, J. E. Boylan, and J. D. Croston. 2005. On the categorization of demand patterns. </w:t>
      </w:r>
      <w:r>
        <w:rPr>
          <w:i/>
        </w:rPr>
        <w:t>Journal of the Operational Research Society</w:t>
      </w:r>
      <w:r>
        <w:t xml:space="preserve"> 56, 5, 495–503. https://doi.org/10.1057/palgrave.jors.2601841</w:t>
      </w:r>
    </w:p>
    <w:p>
      <w:pPr>
        <w:pStyle w:val="Bibentry"/>
      </w:pPr>
      <w:r>
        <w:t>S. Damato, N. Rubattu, D. Azzimonti, and G. Corani. 2026. Intermittent time series forecasting: Local vs global models. arXiv:2601.14031.</w:t>
      </w:r>
    </w:p>
    <w:p>
      <w:pPr>
        <w:pStyle w:val="Bibentry"/>
      </w:pPr>
      <w:r>
        <w:t xml:space="preserve">N. Kourentzes, J. R. Trapero, and D. K. Barrow. 2020. Optimising forecasting models for inventory planning. </w:t>
      </w:r>
      <w:r>
        <w:rPr>
          <w:i/>
        </w:rPr>
        <w:t>International Journal of Production Economics</w:t>
      </w:r>
      <w:r>
        <w:t xml:space="preserve"> 225, 107597. https://doi.org/10.1016/j.ijpe.2019.107597</w:t>
      </w:r>
    </w:p>
    <w:p>
      <w:pPr>
        <w:pStyle w:val="Bibentry"/>
      </w:pPr>
      <w:r>
        <w:t xml:space="preserve">J. F. van der Haar, A. P. Wellens, R. N. Boute, and R. J. I. Basten. 2024. Supervised learning for integrated forecasting and inventory control. </w:t>
      </w:r>
      <w:r>
        <w:rPr>
          <w:i/>
        </w:rPr>
        <w:t>European Journal of Operational Research</w:t>
      </w:r>
      <w:r>
        <w:t xml:space="preserve"> 319, 2, 573–586. https://doi.org/10.1016/j.ejor.2024.07.004</w:t>
      </w:r>
    </w:p>
    <w:p>
      <w:pPr>
        <w:pStyle w:val="Bibentry"/>
      </w:pPr>
      <w:r>
        <w:t xml:space="preserve">G. Ke, Q. Meng, T. Finley, T. Wang, W. Chen, W. Ma, Q. Ye, and T.-Y. Liu. 2017. LightGBM: A highly efficient gradient boosting decision tree. In </w:t>
      </w:r>
      <w:r>
        <w:rPr>
          <w:i/>
        </w:rPr>
        <w:t>Advances in Neural Information Processing Systems 30</w:t>
      </w:r>
      <w:r>
        <w:t>.</w:t>
      </w:r>
    </w:p>
    <w:p>
      <w:pPr>
        <w:pStyle w:val="Bibentry"/>
      </w:pPr>
      <w:r>
        <w:t xml:space="preserve">R. Koenker and G. Bassett. 1978. Regression quantiles. </w:t>
      </w:r>
      <w:r>
        <w:rPr>
          <w:i/>
        </w:rPr>
        <w:t>Econometrica</w:t>
      </w:r>
      <w:r>
        <w:t xml:space="preserve"> 46, 1, 33–50. https://doi.org/10.2307/1913643</w:t>
      </w:r>
    </w:p>
    <w:p>
      <w:pPr>
        <w:pStyle w:val="Bibentry"/>
      </w:pPr>
      <w:r>
        <w:t xml:space="preserve">J. Lei, M. G'Sell, A. Rinaldo, R. J. Tibshirani, and L. Wasserman. 2018. Distribution-free predictive inference for regression. </w:t>
      </w:r>
      <w:r>
        <w:rPr>
          <w:i/>
        </w:rPr>
        <w:t>Journal of the American Statistical Association</w:t>
      </w:r>
      <w:r>
        <w:t xml:space="preserve"> 113, 523, 1094–1111. https://doi.org/10.1080/01621459.2017.1307116</w:t>
      </w:r>
    </w:p>
    <w:p>
      <w:pPr>
        <w:pStyle w:val="Bibentry"/>
      </w:pPr>
      <w:r>
        <w:t xml:space="preserve">R. Hyndman, A. Koehler, K. Ord, and R. Snyder. 2008. </w:t>
      </w:r>
      <w:r>
        <w:rPr>
          <w:i/>
        </w:rPr>
        <w:t>Forecasting with Exponential Smoothing</w:t>
      </w:r>
      <w:r>
        <w:t>. Springer. https://doi.org/10.1007/978-3-540-71918-2</w:t>
      </w:r>
    </w:p>
    <w:p>
      <w:pPr>
        <w:pStyle w:val="Bibentry"/>
      </w:pPr>
      <w:r>
        <w:t xml:space="preserve">F. Pedregosa et al. 2011. Scikit-learn: Machine learning in Python. </w:t>
      </w:r>
      <w:r>
        <w:rPr>
          <w:i/>
        </w:rPr>
        <w:t>Journal of Machine Learning Research</w:t>
      </w:r>
      <w:r>
        <w:t xml:space="preserve"> 12, 2825–2830.</w:t>
      </w:r>
    </w:p>
    <w:p>
      <w:pPr>
        <w:pStyle w:val="Bibentry"/>
      </w:pPr>
      <w:r>
        <w:t xml:space="preserve">J. Demšar. 2006. Statistical comparisons of classifiers over multiple data sets. </w:t>
      </w:r>
      <w:r>
        <w:rPr>
          <w:i/>
        </w:rPr>
        <w:t>Journal of Machine Learning Research</w:t>
      </w:r>
      <w:r>
        <w:t xml:space="preserve"> 7, 1–30.</w:t>
      </w:r>
    </w:p>
    <w:p>
      <w:pPr>
        <w:pStyle w:val="Bibentry"/>
      </w:pPr>
      <w:r>
        <w:t>N. Vandeput. 2024. VN1 Forecasting – Accuracy Challenge. DataSource.ai.</w:t>
      </w:r>
    </w:p>
    <w:p>
      <w:pPr>
        <w:pStyle w:val="Bibentry"/>
      </w:pPr>
      <w:r>
        <w:t>A. F. Ansari et al. 2025. Chronos-2: From univariate to universal forecasting. arXiv:2510.15821.</w:t>
      </w:r>
    </w:p>
    <w:p>
      <w:pPr>
        <w:pStyle w:val="Bibentry"/>
      </w:pPr>
      <w:r>
        <w:t xml:space="preserve">E. Spiliotis, S. Makridakis, A. Kaltsounis, and V. Assimakopoulos. 2021. Product sales probabilistic forecasting: An empirical evaluation using the M5 competition data. </w:t>
      </w:r>
      <w:r>
        <w:rPr>
          <w:i/>
        </w:rPr>
        <w:t>International Journal of Production Economics</w:t>
      </w:r>
      <w:r>
        <w:t xml:space="preserve"> 240, 108237. https://doi.org/10.1016/j.ijpe.2021.108237</w:t>
      </w:r>
    </w:p>
    <w:p>
      <w:pPr>
        <w:pStyle w:val="Bibentry"/>
      </w:pPr>
      <w:r>
        <w:t xml:space="preserve">F. Petropoulos, X. Wang, and S. M. Disney. 2019. The inventory performance of forecasting methods: Evidence from the M3 competition data. </w:t>
      </w:r>
      <w:r>
        <w:rPr>
          <w:i/>
        </w:rPr>
        <w:t>International Journal of Forecasting</w:t>
      </w:r>
      <w:r>
        <w:t xml:space="preserve"> 35, 251–265. https://doi.org/10.1016/j.ijforecast.2018.01.004</w:t>
      </w:r>
    </w:p>
    <w:p>
      <w:pPr>
        <w:pStyle w:val="Bibentry"/>
      </w:pPr>
      <w:r>
        <w:t xml:space="preserve">M. Z. Babai, M. M. Ali, and K. Nikolopoulos. 2012. Impact of temporal aggregation on stock control performance of intermittent demand estimators: Empirical analysis. </w:t>
      </w:r>
      <w:r>
        <w:rPr>
          <w:i/>
        </w:rPr>
        <w:t>Omega</w:t>
      </w:r>
      <w:r>
        <w:t xml:space="preserve"> 40, 713–721. https://doi.org/10.1016/j.omega.2011.09.004</w:t>
      </w:r>
    </w:p>
    <w:p>
      <w:r>
        <w:br w:type="page"/>
      </w:r>
    </w:p>
    <w:p w14:paraId="7CC160B8" w14:textId="14D6C306" w:rsidR="00A93B8D" w:rsidRPr="00F30D02" w:rsidRDefault="00A93B8D" w:rsidP="00A93B8D">
      <w:pPr>
        <w:pStyle w:val="Paper-Title"/>
        <w:jc w:val="left"/>
        <w:rPr>
          <w:rFonts w:eastAsia="宋体"/>
          <w:lang w:eastAsia="zh-CN"/>
        </w:rPr>
      </w:pPr>
      <w:r w:rsidRPr="006A35B6">
        <w:rPr>
          <w:rFonts w:hint="eastAsia"/>
        </w:rPr>
        <w:t>Authors</w:t>
      </w:r>
      <w:r w:rsidRPr="006A35B6">
        <w:t>’</w:t>
      </w:r>
      <w:r w:rsidRPr="006A35B6">
        <w:rPr>
          <w:rFonts w:hint="eastAsia"/>
        </w:rPr>
        <w:t xml:space="preserve"> </w:t>
      </w:r>
      <w:r w:rsidR="00F30D02">
        <w:rPr>
          <w:rFonts w:eastAsia="宋体" w:hint="eastAsia"/>
          <w:lang w:eastAsia="zh-CN"/>
        </w:rPr>
        <w:t>Information</w:t>
      </w:r>
    </w:p>
    <w:tbl>
      <w:tblPr>
        <w:tblStyle w:val="affff1"/>
        <w:tblW w:w="0" w:type="auto"/>
        <w:tblLook w:val="04A0" w:firstRow="1" w:lastRow="0" w:firstColumn="1" w:lastColumn="0" w:noHBand="0" w:noVBand="1"/>
      </w:tblPr>
      <w:tblGrid>
        <w:gridCol w:w="2236"/>
        <w:gridCol w:w="2202"/>
        <w:gridCol w:w="2274"/>
        <w:gridCol w:w="2264"/>
      </w:tblGrid>
      <w:tr w:rsidR="00A93B8D" w14:paraId="42EF0758" w14:textId="77777777" w:rsidTr="00497D85">
        <w:trPr>
          <w:trHeight w:val="419"/>
        </w:trPr>
        <w:tc>
          <w:tcPr>
            <w:tcW w:w="2574" w:type="dxa"/>
          </w:tcPr>
          <w:p w14:paraId="21A8712D"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Your Name</w:t>
            </w:r>
          </w:p>
        </w:tc>
        <w:tc>
          <w:tcPr>
            <w:tcW w:w="2574" w:type="dxa"/>
          </w:tcPr>
          <w:p w14:paraId="560A8843" w14:textId="77777777" w:rsidR="00A93B8D" w:rsidRPr="006A35B6" w:rsidRDefault="00A93B8D" w:rsidP="00497D85">
            <w:pPr>
              <w:pStyle w:val="Paper-Title"/>
              <w:jc w:val="left"/>
              <w:rPr>
                <w:sz w:val="18"/>
                <w:szCs w:val="18"/>
                <w:lang w:eastAsia="zh-CN"/>
              </w:rPr>
            </w:pPr>
            <w:r w:rsidRPr="006A35B6">
              <w:rPr>
                <w:sz w:val="18"/>
                <w:szCs w:val="18"/>
                <w:lang w:eastAsia="zh-CN"/>
              </w:rPr>
              <w:t>T</w:t>
            </w:r>
            <w:r w:rsidRPr="006A35B6">
              <w:rPr>
                <w:rFonts w:hint="eastAsia"/>
                <w:sz w:val="18"/>
                <w:szCs w:val="18"/>
                <w:lang w:eastAsia="zh-CN"/>
              </w:rPr>
              <w:t>itle*</w:t>
            </w:r>
          </w:p>
        </w:tc>
        <w:tc>
          <w:tcPr>
            <w:tcW w:w="2574" w:type="dxa"/>
          </w:tcPr>
          <w:p w14:paraId="6D1A6607"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Research Field</w:t>
            </w:r>
          </w:p>
        </w:tc>
        <w:tc>
          <w:tcPr>
            <w:tcW w:w="2574" w:type="dxa"/>
          </w:tcPr>
          <w:p w14:paraId="28C905C4"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Personal website</w:t>
            </w:r>
          </w:p>
        </w:tc>
      </w:tr>
      <w:tr w:rsidR="00A93B8D" w14:paraId="5020EC8E" w14:textId="77777777" w:rsidTr="00497D85">
        <w:tc>
          <w:tcPr>
            <w:tcW w:w="2574" w:type="dxa"/>
          </w:tcPr>
          <w:p w14:paraId="66F99E52" w14:textId="7A615C55" w:rsidR="00A93B8D"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First Author</w:t>
            </w:r>
          </w:p>
        </w:tc>
        <w:tc>
          <w:tcPr>
            <w:tcW w:w="2574" w:type="dxa"/>
          </w:tcPr>
          <w:p w14:paraId="113BAA73" w14:textId="77777777" w:rsidR="00A93B8D" w:rsidRPr="0093627F" w:rsidRDefault="00A93B8D" w:rsidP="00497D85">
            <w:pPr>
              <w:pStyle w:val="Paper-Title"/>
              <w:jc w:val="left"/>
              <w:rPr>
                <w:b w:val="0"/>
                <w:sz w:val="18"/>
                <w:szCs w:val="18"/>
                <w:lang w:eastAsia="zh-CN"/>
              </w:rPr>
            </w:pPr>
          </w:p>
        </w:tc>
        <w:tc>
          <w:tcPr>
            <w:tcW w:w="2574" w:type="dxa"/>
          </w:tcPr>
          <w:p w14:paraId="3906BE84" w14:textId="77777777" w:rsidR="00A93B8D" w:rsidRPr="0093627F" w:rsidRDefault="00A93B8D" w:rsidP="00497D85">
            <w:pPr>
              <w:pStyle w:val="Paper-Title"/>
              <w:jc w:val="left"/>
              <w:rPr>
                <w:b w:val="0"/>
                <w:sz w:val="18"/>
                <w:szCs w:val="18"/>
                <w:lang w:eastAsia="zh-CN"/>
              </w:rPr>
            </w:pPr>
          </w:p>
        </w:tc>
        <w:tc>
          <w:tcPr>
            <w:tcW w:w="2574" w:type="dxa"/>
          </w:tcPr>
          <w:p w14:paraId="52C7A565" w14:textId="77777777" w:rsidR="00A93B8D" w:rsidRPr="0093627F" w:rsidRDefault="00A93B8D" w:rsidP="00497D85">
            <w:pPr>
              <w:pStyle w:val="Paper-Title"/>
              <w:jc w:val="left"/>
              <w:rPr>
                <w:b w:val="0"/>
                <w:sz w:val="18"/>
                <w:szCs w:val="18"/>
                <w:lang w:eastAsia="zh-CN"/>
              </w:rPr>
            </w:pPr>
          </w:p>
        </w:tc>
      </w:tr>
      <w:tr w:rsidR="00EC55BA" w14:paraId="45519443" w14:textId="77777777" w:rsidTr="00497D85">
        <w:tc>
          <w:tcPr>
            <w:tcW w:w="2574" w:type="dxa"/>
          </w:tcPr>
          <w:p w14:paraId="53E23255" w14:textId="55F51461" w:rsidR="00EC55BA"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Second Author</w:t>
            </w:r>
          </w:p>
        </w:tc>
        <w:tc>
          <w:tcPr>
            <w:tcW w:w="2574" w:type="dxa"/>
          </w:tcPr>
          <w:p w14:paraId="27B1C298" w14:textId="77777777" w:rsidR="00EC55BA" w:rsidRPr="0093627F" w:rsidRDefault="00EC55BA" w:rsidP="00497D85">
            <w:pPr>
              <w:pStyle w:val="Paper-Title"/>
              <w:jc w:val="left"/>
              <w:rPr>
                <w:b w:val="0"/>
                <w:sz w:val="18"/>
                <w:szCs w:val="18"/>
                <w:lang w:eastAsia="zh-CN"/>
              </w:rPr>
            </w:pPr>
          </w:p>
        </w:tc>
        <w:tc>
          <w:tcPr>
            <w:tcW w:w="2574" w:type="dxa"/>
          </w:tcPr>
          <w:p w14:paraId="69830148" w14:textId="77777777" w:rsidR="00EC55BA" w:rsidRPr="0093627F" w:rsidRDefault="00EC55BA" w:rsidP="00497D85">
            <w:pPr>
              <w:pStyle w:val="Paper-Title"/>
              <w:jc w:val="left"/>
              <w:rPr>
                <w:b w:val="0"/>
                <w:sz w:val="18"/>
                <w:szCs w:val="18"/>
                <w:lang w:eastAsia="zh-CN"/>
              </w:rPr>
            </w:pPr>
          </w:p>
        </w:tc>
        <w:tc>
          <w:tcPr>
            <w:tcW w:w="2574" w:type="dxa"/>
          </w:tcPr>
          <w:p w14:paraId="61D50C9B" w14:textId="77777777" w:rsidR="00EC55BA" w:rsidRPr="0093627F" w:rsidRDefault="00EC55BA" w:rsidP="00497D85">
            <w:pPr>
              <w:pStyle w:val="Paper-Title"/>
              <w:jc w:val="left"/>
              <w:rPr>
                <w:b w:val="0"/>
                <w:sz w:val="18"/>
                <w:szCs w:val="18"/>
                <w:lang w:eastAsia="zh-CN"/>
              </w:rPr>
            </w:pPr>
          </w:p>
        </w:tc>
      </w:tr>
      <w:tr w:rsidR="00A93B8D" w14:paraId="07865622" w14:textId="77777777" w:rsidTr="00497D85">
        <w:tc>
          <w:tcPr>
            <w:tcW w:w="2574" w:type="dxa"/>
          </w:tcPr>
          <w:p w14:paraId="1A1FEDC3" w14:textId="10A84104" w:rsidR="00A93B8D"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Third Author</w:t>
            </w:r>
          </w:p>
        </w:tc>
        <w:tc>
          <w:tcPr>
            <w:tcW w:w="2574" w:type="dxa"/>
          </w:tcPr>
          <w:p w14:paraId="55F11413" w14:textId="77777777" w:rsidR="00A93B8D" w:rsidRPr="0093627F" w:rsidRDefault="00A93B8D" w:rsidP="00497D85">
            <w:pPr>
              <w:pStyle w:val="Paper-Title"/>
              <w:jc w:val="left"/>
              <w:rPr>
                <w:b w:val="0"/>
                <w:sz w:val="18"/>
                <w:szCs w:val="18"/>
                <w:lang w:eastAsia="zh-CN"/>
              </w:rPr>
            </w:pPr>
          </w:p>
        </w:tc>
        <w:tc>
          <w:tcPr>
            <w:tcW w:w="2574" w:type="dxa"/>
          </w:tcPr>
          <w:p w14:paraId="1C9C0C9F" w14:textId="77777777" w:rsidR="00A93B8D" w:rsidRPr="0093627F" w:rsidRDefault="00A93B8D" w:rsidP="00497D85">
            <w:pPr>
              <w:pStyle w:val="Paper-Title"/>
              <w:jc w:val="left"/>
              <w:rPr>
                <w:b w:val="0"/>
                <w:sz w:val="18"/>
                <w:szCs w:val="18"/>
                <w:lang w:eastAsia="zh-CN"/>
              </w:rPr>
            </w:pPr>
          </w:p>
        </w:tc>
        <w:tc>
          <w:tcPr>
            <w:tcW w:w="2574" w:type="dxa"/>
          </w:tcPr>
          <w:p w14:paraId="299D02EF" w14:textId="77777777" w:rsidR="00A93B8D" w:rsidRPr="0093627F" w:rsidRDefault="00A93B8D" w:rsidP="00497D85">
            <w:pPr>
              <w:pStyle w:val="Paper-Title"/>
              <w:jc w:val="left"/>
              <w:rPr>
                <w:b w:val="0"/>
                <w:sz w:val="18"/>
                <w:szCs w:val="18"/>
                <w:lang w:eastAsia="zh-CN"/>
              </w:rPr>
            </w:pPr>
          </w:p>
        </w:tc>
      </w:tr>
    </w:tbl>
    <w:p w14:paraId="437C9565" w14:textId="77777777" w:rsidR="0093627F" w:rsidRDefault="0093627F" w:rsidP="00A93B8D">
      <w:pPr>
        <w:pStyle w:val="Paper-Title"/>
        <w:jc w:val="left"/>
        <w:rPr>
          <w:rFonts w:eastAsia="宋体" w:hint="eastAsia"/>
          <w:sz w:val="18"/>
          <w:szCs w:val="18"/>
          <w:lang w:eastAsia="zh-CN"/>
        </w:rPr>
      </w:pPr>
    </w:p>
    <w:p w14:paraId="47A2F885" w14:textId="3EC14A8A" w:rsidR="00A93B8D" w:rsidRPr="006A35B6" w:rsidRDefault="00A93B8D" w:rsidP="00A93B8D">
      <w:pPr>
        <w:pStyle w:val="Paper-Title"/>
        <w:jc w:val="left"/>
        <w:rPr>
          <w:color w:val="FF0000"/>
          <w:sz w:val="18"/>
          <w:szCs w:val="18"/>
          <w:lang w:eastAsia="zh-CN"/>
        </w:rPr>
      </w:pPr>
      <w:r w:rsidRPr="006A35B6">
        <w:rPr>
          <w:sz w:val="18"/>
          <w:szCs w:val="18"/>
          <w:lang w:eastAsia="zh-CN"/>
        </w:rPr>
        <w:t xml:space="preserve">*This form helps us to understand your paper better, </w:t>
      </w:r>
      <w:r w:rsidRPr="00A93B8D">
        <w:rPr>
          <w:color w:val="FF0000"/>
          <w:sz w:val="18"/>
          <w:szCs w:val="18"/>
          <w:lang w:eastAsia="zh-CN"/>
        </w:rPr>
        <w:t>and</w:t>
      </w:r>
      <w:r w:rsidRPr="00A93B8D">
        <w:rPr>
          <w:rFonts w:hint="eastAsia"/>
          <w:color w:val="FF0000"/>
          <w:sz w:val="18"/>
          <w:szCs w:val="18"/>
          <w:lang w:eastAsia="zh-CN"/>
        </w:rPr>
        <w:t xml:space="preserve"> </w:t>
      </w:r>
      <w:r w:rsidRPr="006A35B6">
        <w:rPr>
          <w:color w:val="FF0000"/>
          <w:sz w:val="18"/>
          <w:szCs w:val="18"/>
          <w:lang w:eastAsia="zh-CN"/>
        </w:rPr>
        <w:t>the form itself will not be published.</w:t>
      </w:r>
    </w:p>
    <w:p w14:paraId="6ABB3B95" w14:textId="7BEF5DAA" w:rsidR="00A93B8D" w:rsidRPr="00A93B8D" w:rsidRDefault="00A93B8D" w:rsidP="00A93B8D">
      <w:pPr>
        <w:pStyle w:val="Paper-Title"/>
        <w:jc w:val="left"/>
        <w:rPr>
          <w:rFonts w:eastAsia="宋体"/>
          <w:sz w:val="18"/>
          <w:szCs w:val="18"/>
          <w:lang w:eastAsia="zh-CN"/>
        </w:rPr>
      </w:pPr>
      <w:r w:rsidRPr="006A35B6">
        <w:rPr>
          <w:sz w:val="18"/>
          <w:szCs w:val="18"/>
          <w:lang w:eastAsia="zh-CN"/>
        </w:rPr>
        <w:t xml:space="preserve">*Title can be chosen from: </w:t>
      </w:r>
      <w:r w:rsidRPr="006A35B6">
        <w:rPr>
          <w:sz w:val="18"/>
          <w:szCs w:val="18"/>
          <w:lang w:eastAsia="zh-CN"/>
        </w:rPr>
        <w:t>Master Student</w:t>
      </w:r>
      <w:r w:rsidRPr="006A35B6">
        <w:rPr>
          <w:sz w:val="18"/>
          <w:szCs w:val="18"/>
          <w:lang w:eastAsia="zh-CN"/>
        </w:rPr>
        <w:t>, Ph</w:t>
      </w:r>
      <w:r>
        <w:rPr>
          <w:rFonts w:eastAsia="宋体" w:hint="eastAsia"/>
          <w:sz w:val="18"/>
          <w:szCs w:val="18"/>
          <w:lang w:eastAsia="zh-CN"/>
        </w:rPr>
        <w:t>D</w:t>
      </w:r>
      <w:r w:rsidRPr="006A35B6">
        <w:rPr>
          <w:sz w:val="18"/>
          <w:szCs w:val="18"/>
          <w:lang w:eastAsia="zh-CN"/>
        </w:rPr>
        <w:t xml:space="preserve"> </w:t>
      </w:r>
      <w:r w:rsidRPr="006A35B6">
        <w:rPr>
          <w:sz w:val="18"/>
          <w:szCs w:val="18"/>
          <w:lang w:eastAsia="zh-CN"/>
        </w:rPr>
        <w:t>Candidate</w:t>
      </w:r>
      <w:r w:rsidRPr="006A35B6">
        <w:rPr>
          <w:sz w:val="18"/>
          <w:szCs w:val="18"/>
          <w:lang w:eastAsia="zh-CN"/>
        </w:rPr>
        <w:t xml:space="preserve">, </w:t>
      </w:r>
      <w:r>
        <w:rPr>
          <w:rFonts w:eastAsia="宋体" w:hint="eastAsia"/>
          <w:sz w:val="18"/>
          <w:szCs w:val="18"/>
          <w:lang w:eastAsia="zh-CN"/>
        </w:rPr>
        <w:t xml:space="preserve">Doctor, </w:t>
      </w:r>
      <w:r w:rsidRPr="006A35B6">
        <w:rPr>
          <w:sz w:val="18"/>
          <w:szCs w:val="18"/>
          <w:lang w:eastAsia="zh-CN"/>
        </w:rPr>
        <w:t>Assistant Professor</w:t>
      </w:r>
      <w:r w:rsidRPr="006A35B6">
        <w:rPr>
          <w:sz w:val="18"/>
          <w:szCs w:val="18"/>
          <w:lang w:eastAsia="zh-CN"/>
        </w:rPr>
        <w:t xml:space="preserve">, </w:t>
      </w:r>
      <w:r w:rsidRPr="006A35B6">
        <w:rPr>
          <w:sz w:val="18"/>
          <w:szCs w:val="18"/>
          <w:lang w:eastAsia="zh-CN"/>
        </w:rPr>
        <w:t>Lecture</w:t>
      </w:r>
      <w:r>
        <w:rPr>
          <w:sz w:val="18"/>
          <w:szCs w:val="18"/>
          <w:lang w:eastAsia="zh-CN"/>
        </w:rPr>
        <w:t>r</w:t>
      </w:r>
      <w:r w:rsidRPr="006A35B6">
        <w:rPr>
          <w:sz w:val="18"/>
          <w:szCs w:val="18"/>
          <w:lang w:eastAsia="zh-CN"/>
        </w:rPr>
        <w:t>, Senior Lecture</w:t>
      </w:r>
      <w:r>
        <w:rPr>
          <w:sz w:val="18"/>
          <w:szCs w:val="18"/>
          <w:lang w:eastAsia="zh-CN"/>
        </w:rPr>
        <w:t>r</w:t>
      </w:r>
      <w:r w:rsidRPr="006A35B6">
        <w:rPr>
          <w:sz w:val="18"/>
          <w:szCs w:val="18"/>
          <w:lang w:eastAsia="zh-CN"/>
        </w:rPr>
        <w:t>, Associate Professor, Full Professor</w:t>
      </w:r>
      <w:r>
        <w:rPr>
          <w:sz w:val="18"/>
          <w:szCs w:val="18"/>
          <w:lang w:eastAsia="zh-CN"/>
        </w:rPr>
        <w:t>, Research</w:t>
      </w:r>
      <w:r>
        <w:rPr>
          <w:rFonts w:eastAsia="宋体"/>
          <w:sz w:val="18"/>
          <w:szCs w:val="18"/>
          <w:lang w:eastAsia="zh-CN"/>
        </w:rPr>
        <w:t>er</w:t>
      </w:r>
      <w:r>
        <w:rPr>
          <w:sz w:val="18"/>
          <w:szCs w:val="18"/>
          <w:lang w:eastAsia="zh-CN"/>
        </w:rPr>
        <w:t xml:space="preserve">, </w:t>
      </w:r>
      <w:proofErr w:type="gramStart"/>
      <w:r>
        <w:rPr>
          <w:sz w:val="18"/>
          <w:szCs w:val="18"/>
          <w:lang w:eastAsia="zh-CN"/>
        </w:rPr>
        <w:t>Senior</w:t>
      </w:r>
      <w:proofErr w:type="gramEnd"/>
      <w:r>
        <w:rPr>
          <w:sz w:val="18"/>
          <w:szCs w:val="18"/>
          <w:lang w:eastAsia="zh-CN"/>
        </w:rPr>
        <w:t xml:space="preserve"> Research</w:t>
      </w:r>
      <w:r>
        <w:rPr>
          <w:rFonts w:eastAsia="宋体"/>
          <w:sz w:val="18"/>
          <w:szCs w:val="18"/>
          <w:lang w:eastAsia="zh-CN"/>
        </w:rPr>
        <w:t>er</w:t>
      </w:r>
    </w:p>
    <w:p w14:paraId="3A326F90" w14:textId="77777777" w:rsidR="00A93B8D" w:rsidRPr="0093627F" w:rsidRDefault="00A93B8D" w:rsidP="00A93B8D">
      <w:pPr>
        <w:pStyle w:val="ParaContinue"/>
        <w:ind w:firstLine="0"/>
        <w:rPr>
          <w:rFonts w:eastAsia="宋体" w:hint="eastAsia"/>
          <w:lang w:eastAsia="zh-CN"/>
        </w:rPr>
      </w:pPr>
      <w:bookmarkStart w:id="2" w:name="_GoBack"/>
      <w:bookmarkEnd w:id="2"/>
    </w:p>
    <w:sectPr w:rsidR="00A93B8D" w:rsidRPr="0093627F" w:rsidSect="000C6221">
      <w:footerReference w:type="default" r:id="rId21"/>
      <w:footerReference w:type="first" r:id="rId22"/>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61635A" w14:textId="77777777" w:rsidR="00C96B06" w:rsidRDefault="00C96B06" w:rsidP="0008602E">
      <w:r>
        <w:separator/>
      </w:r>
    </w:p>
  </w:endnote>
  <w:endnote w:type="continuationSeparator" w:id="0">
    <w:p w14:paraId="3C45ECF0" w14:textId="77777777" w:rsidR="00C96B06" w:rsidRDefault="00C96B06"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D11DE" w14:textId="031539C3" w:rsidR="00894B43" w:rsidRDefault="00894B43" w:rsidP="00894B43">
    <w:pPr>
      <w:pStyle w:val="ac"/>
      <w:jc w:val="center"/>
    </w:pPr>
    <w:r>
      <w:fldChar w:fldCharType="begin"/>
    </w:r>
    <w:r>
      <w:instrText xml:space="preserve"> PAGE   \* MERGEFORMAT </w:instrText>
    </w:r>
    <w:r>
      <w:fldChar w:fldCharType="separate"/>
    </w:r>
    <w:r w:rsidR="0093627F">
      <w:rPr>
        <w:noProof/>
      </w:rPr>
      <w:t>12</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00A9D" w14:textId="77777777" w:rsidR="000C6221" w:rsidRDefault="000C6221">
    <w:pPr>
      <w:pStyle w:val="ac"/>
    </w:pPr>
  </w:p>
  <w:p w14:paraId="7A29722F" w14:textId="77777777" w:rsidR="000C6221" w:rsidRDefault="000C6221">
    <w:pPr>
      <w:pStyle w:val="ac"/>
    </w:pPr>
  </w:p>
  <w:p w14:paraId="79DEB755" w14:textId="77777777" w:rsidR="000C6221" w:rsidRDefault="000C6221">
    <w:pPr>
      <w:pStyle w:val="ac"/>
    </w:pPr>
  </w:p>
  <w:p w14:paraId="68BB8E9E" w14:textId="77777777" w:rsidR="000C6221" w:rsidRDefault="000C6221">
    <w:pPr>
      <w:pStyle w:val="ac"/>
    </w:pPr>
  </w:p>
  <w:p w14:paraId="09E1EECD" w14:textId="77777777" w:rsidR="000C6221" w:rsidRDefault="000C6221">
    <w:pPr>
      <w:pStyle w:val="ac"/>
    </w:pPr>
  </w:p>
  <w:p w14:paraId="0B100EAE" w14:textId="77777777" w:rsidR="000C6221" w:rsidRDefault="000C6221">
    <w:pPr>
      <w:pStyle w:val="ac"/>
    </w:pPr>
  </w:p>
  <w:p w14:paraId="35C5DB48" w14:textId="77777777" w:rsidR="000C6221" w:rsidRDefault="000C6221">
    <w:pPr>
      <w:pStyle w:val="ac"/>
    </w:pPr>
  </w:p>
  <w:p w14:paraId="2553C5B1" w14:textId="77777777" w:rsidR="000C6221" w:rsidRDefault="000C6221">
    <w:pPr>
      <w:pStyle w:val="ac"/>
    </w:pPr>
  </w:p>
  <w:p w14:paraId="715E4BB1" w14:textId="77777777" w:rsidR="000C6221" w:rsidRDefault="000C6221">
    <w:pPr>
      <w:pStyle w:val="ac"/>
    </w:pPr>
  </w:p>
  <w:p w14:paraId="6AC5033F" w14:textId="77777777" w:rsidR="000C6221" w:rsidRDefault="000C6221">
    <w:pPr>
      <w:pStyle w:val="ac"/>
    </w:pPr>
  </w:p>
  <w:p w14:paraId="4AF516C3" w14:textId="77777777" w:rsidR="000C6221" w:rsidRDefault="000C6221">
    <w:pPr>
      <w:pStyle w:val="ac"/>
    </w:pPr>
  </w:p>
  <w:p w14:paraId="6D3ADB38" w14:textId="77777777" w:rsidR="000C6221" w:rsidRDefault="000C6221">
    <w:pPr>
      <w:pStyle w:val="ac"/>
    </w:pPr>
  </w:p>
  <w:p w14:paraId="36572510" w14:textId="77777777" w:rsidR="000C6221" w:rsidRDefault="000C6221">
    <w:pPr>
      <w:pStyle w:val="ac"/>
    </w:pPr>
  </w:p>
  <w:p w14:paraId="4F875FAD" w14:textId="77777777" w:rsidR="000C6221" w:rsidRDefault="000C6221">
    <w:pPr>
      <w:pStyle w:val="ac"/>
    </w:pPr>
  </w:p>
  <w:p w14:paraId="7BDA2472" w14:textId="77777777" w:rsidR="000C6221" w:rsidRDefault="000C6221">
    <w:pPr>
      <w:pStyle w:val="ac"/>
    </w:pPr>
  </w:p>
  <w:p w14:paraId="1010A67F" w14:textId="77777777" w:rsidR="000C6221" w:rsidRDefault="000C6221">
    <w:pPr>
      <w:pStyle w:val="ac"/>
    </w:pPr>
  </w:p>
  <w:p w14:paraId="16AD449E" w14:textId="7AB515C2" w:rsidR="001E2D05" w:rsidRDefault="001E2D05">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6F5ECB" w14:textId="77777777" w:rsidR="00C96B06" w:rsidRDefault="00C96B06" w:rsidP="0008602E">
      <w:r>
        <w:separator/>
      </w:r>
    </w:p>
  </w:footnote>
  <w:footnote w:type="continuationSeparator" w:id="0">
    <w:p w14:paraId="32BABE31" w14:textId="77777777" w:rsidR="00C96B06" w:rsidRDefault="00C96B06" w:rsidP="0008602E">
      <w:r>
        <w:continuationSeparator/>
      </w:r>
    </w:p>
  </w:footnote>
  <w:footnote w:id="1">
    <w:p w14:paraId="3B1217BF" w14:textId="77777777" w:rsidR="00B1638F" w:rsidRDefault="00B1638F" w:rsidP="00B1638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nsid w:val="FFFFFF7F"/>
    <w:multiLevelType w:val="singleLevel"/>
    <w:tmpl w:val="9C644BE0"/>
    <w:lvl w:ilvl="0">
      <w:start w:val="1"/>
      <w:numFmt w:val="decimal"/>
      <w:pStyle w:val="2"/>
      <w:lvlText w:val="%1."/>
      <w:lvlJc w:val="left"/>
      <w:pPr>
        <w:tabs>
          <w:tab w:val="num" w:pos="720"/>
        </w:tabs>
        <w:ind w:left="720" w:hanging="360"/>
      </w:pPr>
    </w:lvl>
  </w:abstractNum>
  <w:abstractNum w:abstractNumId="4">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B27EF8AC"/>
    <w:lvl w:ilvl="0">
      <w:start w:val="1"/>
      <w:numFmt w:val="decimal"/>
      <w:pStyle w:val="a"/>
      <w:lvlText w:val="%1."/>
      <w:lvlJc w:val="left"/>
      <w:pPr>
        <w:tabs>
          <w:tab w:val="num" w:pos="360"/>
        </w:tabs>
        <w:ind w:left="360" w:hanging="360"/>
      </w:pPr>
    </w:lvl>
  </w:abstractNum>
  <w:abstractNum w:abstractNumId="9">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017F0B4D"/>
    <w:multiLevelType w:val="multilevel"/>
    <w:tmpl w:val="4D6825E8"/>
    <w:numStyleLink w:val="111111"/>
  </w:abstractNum>
  <w:abstractNum w:abstractNumId="12">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20B90ECF"/>
    <w:multiLevelType w:val="multilevel"/>
    <w:tmpl w:val="4D6825E8"/>
    <w:numStyleLink w:val="111111"/>
  </w:abstractNum>
  <w:abstractNum w:abstractNumId="19">
    <w:nsid w:val="2A263F6D"/>
    <w:multiLevelType w:val="singleLevel"/>
    <w:tmpl w:val="40090019"/>
    <w:lvl w:ilvl="0">
      <w:start w:val="1"/>
      <w:numFmt w:val="decimal"/>
      <w:lvlText w:val="%1."/>
      <w:lvlJc w:val="left"/>
      <w:pPr>
        <w:ind w:left="480" w:hanging="240"/>
      </w:pPr>
      <w:rPr>
        <w:rFonts w:hint="default"/>
      </w:rPr>
    </w:lvl>
  </w:abstractNum>
  <w:abstractNum w:abstractNumId="20">
    <w:nsid w:val="36662F61"/>
    <w:multiLevelType w:val="singleLevel"/>
    <w:tmpl w:val="40090019"/>
    <w:lvl w:ilvl="0">
      <w:start w:val="1"/>
      <w:numFmt w:val="decimal"/>
      <w:pStyle w:val="a1"/>
      <w:lvlText w:val="%1."/>
      <w:lvlJc w:val="left"/>
      <w:pPr>
        <w:ind w:left="480" w:hanging="240"/>
      </w:pPr>
      <w:rPr>
        <w:rFonts w:hint="default"/>
      </w:rPr>
    </w:lvl>
  </w:abstractNum>
  <w:abstractNum w:abstractNumId="21">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nsid w:val="41D53E22"/>
    <w:multiLevelType w:val="singleLevel"/>
    <w:tmpl w:val="40090019"/>
    <w:lvl w:ilvl="0">
      <w:start w:val="1"/>
      <w:numFmt w:val="decimal"/>
      <w:lvlText w:val="%1."/>
      <w:lvlJc w:val="left"/>
      <w:pPr>
        <w:ind w:left="480" w:hanging="240"/>
      </w:pPr>
      <w:rPr>
        <w:rFonts w:hint="default"/>
      </w:rPr>
    </w:lvl>
  </w:abstractNum>
  <w:abstractNum w:abstractNumId="23">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48274591"/>
    <w:multiLevelType w:val="singleLevel"/>
    <w:tmpl w:val="40090019"/>
    <w:lvl w:ilvl="0">
      <w:start w:val="1"/>
      <w:numFmt w:val="decimal"/>
      <w:lvlText w:val="%1."/>
      <w:lvlJc w:val="left"/>
      <w:pPr>
        <w:ind w:left="480" w:hanging="240"/>
      </w:pPr>
      <w:rPr>
        <w:rFonts w:hint="default"/>
      </w:rPr>
    </w:lvl>
  </w:abstractNum>
  <w:abstractNum w:abstractNumId="26">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nsid w:val="6B514737"/>
    <w:multiLevelType w:val="singleLevel"/>
    <w:tmpl w:val="40090019"/>
    <w:lvl w:ilvl="0">
      <w:start w:val="1"/>
      <w:numFmt w:val="decimal"/>
      <w:lvlText w:val="%1."/>
      <w:lvlJc w:val="left"/>
      <w:pPr>
        <w:ind w:left="480" w:hanging="240"/>
      </w:pPr>
      <w:rPr>
        <w:rFonts w:hint="default"/>
      </w:rPr>
    </w:lvl>
  </w:abstractNum>
  <w:abstractNum w:abstractNumId="3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nsid w:val="7E544166"/>
    <w:multiLevelType w:val="multilevel"/>
    <w:tmpl w:val="4D6825E8"/>
    <w:numStyleLink w:val="111111"/>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0"/>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30"/>
  </w:num>
  <w:num w:numId="17">
    <w:abstractNumId w:val="24"/>
  </w:num>
  <w:num w:numId="18">
    <w:abstractNumId w:val="28"/>
  </w:num>
  <w:num w:numId="19">
    <w:abstractNumId w:val="10"/>
  </w:num>
  <w:num w:numId="20">
    <w:abstractNumId w:val="27"/>
  </w:num>
  <w:num w:numId="21">
    <w:abstractNumId w:val="16"/>
    <w:lvlOverride w:ilvl="0">
      <w:startOverride w:val="1"/>
    </w:lvlOverride>
  </w:num>
  <w:num w:numId="22">
    <w:abstractNumId w:val="16"/>
    <w:lvlOverride w:ilvl="0">
      <w:startOverride w:val="1"/>
    </w:lvlOverride>
  </w:num>
  <w:num w:numId="23">
    <w:abstractNumId w:val="23"/>
  </w:num>
  <w:num w:numId="24">
    <w:abstractNumId w:val="26"/>
  </w:num>
  <w:num w:numId="25">
    <w:abstractNumId w:val="11"/>
  </w:num>
  <w:num w:numId="26">
    <w:abstractNumId w:val="23"/>
  </w:num>
  <w:num w:numId="27">
    <w:abstractNumId w:val="14"/>
  </w:num>
  <w:num w:numId="28">
    <w:abstractNumId w:val="11"/>
    <w:lvlOverride w:ilvl="0">
      <w:startOverride w:val="1"/>
    </w:lvlOverride>
  </w:num>
  <w:num w:numId="29">
    <w:abstractNumId w:val="15"/>
  </w:num>
  <w:num w:numId="30">
    <w:abstractNumId w:val="11"/>
    <w:lvlOverride w:ilvl="0">
      <w:startOverride w:val="1"/>
    </w:lvlOverride>
  </w:num>
  <w:num w:numId="31">
    <w:abstractNumId w:val="11"/>
  </w:num>
  <w:num w:numId="32">
    <w:abstractNumId w:val="12"/>
  </w:num>
  <w:num w:numId="33">
    <w:abstractNumId w:val="11"/>
    <w:lvlOverride w:ilvl="0">
      <w:startOverride w:val="1"/>
    </w:lvlOverride>
  </w:num>
  <w:num w:numId="34">
    <w:abstractNumId w:val="17"/>
  </w:num>
  <w:num w:numId="35">
    <w:abstractNumId w:val="32"/>
  </w:num>
  <w:num w:numId="36">
    <w:abstractNumId w:val="18"/>
  </w:num>
  <w:num w:numId="37">
    <w:abstractNumId w:val="21"/>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22"/>
  </w:num>
  <w:num w:numId="41">
    <w:abstractNumId w:val="29"/>
  </w:num>
  <w:num w:numId="42">
    <w:abstractNumId w:val="19"/>
  </w:num>
  <w:num w:numId="43">
    <w:abstractNumId w:val="13"/>
  </w:num>
  <w:num w:numId="44">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132D2"/>
    <w:rsid w:val="00923F1F"/>
    <w:rsid w:val="00925CE4"/>
    <w:rsid w:val="0093627F"/>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3B8D"/>
    <w:rsid w:val="00A96468"/>
    <w:rsid w:val="00AA345B"/>
    <w:rsid w:val="00AA6E11"/>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96B06"/>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75782"/>
    <w:rsid w:val="00D81AE6"/>
    <w:rsid w:val="00D92A3B"/>
    <w:rsid w:val="00DA5AB4"/>
    <w:rsid w:val="00DB1127"/>
    <w:rsid w:val="00DB176D"/>
    <w:rsid w:val="00DC6044"/>
    <w:rsid w:val="00DD4AD3"/>
    <w:rsid w:val="00DD5CB7"/>
    <w:rsid w:val="00DF0BA4"/>
    <w:rsid w:val="00E00E3A"/>
    <w:rsid w:val="00E02C38"/>
    <w:rsid w:val="00E03AF6"/>
    <w:rsid w:val="00E31A15"/>
    <w:rsid w:val="00E51565"/>
    <w:rsid w:val="00E62682"/>
    <w:rsid w:val="00EA155B"/>
    <w:rsid w:val="00EA39C9"/>
    <w:rsid w:val="00EA5ED5"/>
    <w:rsid w:val="00EB17F1"/>
    <w:rsid w:val="00EC55BA"/>
    <w:rsid w:val="00EC59D4"/>
    <w:rsid w:val="00ED01B9"/>
    <w:rsid w:val="00ED07F9"/>
    <w:rsid w:val="00ED2C80"/>
    <w:rsid w:val="00EE2E4F"/>
    <w:rsid w:val="00EE4FEB"/>
    <w:rsid w:val="00EF18AD"/>
    <w:rsid w:val="00EF2F35"/>
    <w:rsid w:val="00EF634C"/>
    <w:rsid w:val="00F040F5"/>
    <w:rsid w:val="00F05498"/>
    <w:rsid w:val="00F06DDF"/>
    <w:rsid w:val="00F30D02"/>
    <w:rsid w:val="00F542FA"/>
    <w:rsid w:val="00F64D59"/>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E1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Char"/>
    <w:rsid w:val="00EF2F35"/>
    <w:pPr>
      <w:spacing w:after="200"/>
    </w:pPr>
    <w:rPr>
      <w:rFonts w:ascii="Linux Libertine O" w:eastAsia="Cambria" w:hAnsi="Linux Libertine O" w:cs="Linux Libertine O"/>
      <w:sz w:val="14"/>
      <w:lang w:val="en-US" w:eastAsia="en-US"/>
    </w:rPr>
  </w:style>
  <w:style w:type="character" w:customStyle="1" w:styleId="Char">
    <w:name w:val="脚注文本 Char"/>
    <w:link w:val="a8"/>
    <w:rsid w:val="00EF2F35"/>
    <w:rPr>
      <w:rFonts w:ascii="Linux Libertine O" w:eastAsia="Cambria" w:hAnsi="Linux Libertine O" w:cs="Linux Libertine O"/>
      <w:sz w:val="14"/>
      <w:szCs w:val="24"/>
    </w:rPr>
  </w:style>
  <w:style w:type="paragraph" w:styleId="a9">
    <w:name w:val="Subtitle"/>
    <w:basedOn w:val="a3"/>
    <w:next w:val="a3"/>
    <w:link w:val="Char0"/>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Char0">
    <w:name w:val="副标题 Char"/>
    <w:link w:val="a9"/>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a">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b">
    <w:name w:val="Balloon Text"/>
    <w:basedOn w:val="a3"/>
    <w:link w:val="Char1"/>
    <w:uiPriority w:val="99"/>
    <w:semiHidden/>
    <w:unhideWhenUsed/>
    <w:rsid w:val="00EF2F35"/>
    <w:rPr>
      <w:rFonts w:ascii="Linux Biolinum O" w:eastAsia="MS Mincho" w:hAnsi="Linux Biolinum O" w:cs="Linux Biolinum O"/>
      <w:sz w:val="18"/>
      <w:szCs w:val="18"/>
      <w:lang w:val="en-US" w:eastAsia="ja-JP"/>
    </w:rPr>
  </w:style>
  <w:style w:type="character" w:customStyle="1" w:styleId="Char1">
    <w:name w:val="批注框文本 Char"/>
    <w:basedOn w:val="a4"/>
    <w:link w:val="ab"/>
    <w:uiPriority w:val="99"/>
    <w:semiHidden/>
    <w:rsid w:val="00EF2F35"/>
    <w:rPr>
      <w:rFonts w:ascii="Linux Biolinum O" w:hAnsi="Linux Biolinum O" w:cs="Linux Biolinum O"/>
      <w:sz w:val="18"/>
      <w:szCs w:val="18"/>
      <w:lang w:eastAsia="ja-JP"/>
    </w:rPr>
  </w:style>
  <w:style w:type="paragraph" w:styleId="ac">
    <w:name w:val="footer"/>
    <w:basedOn w:val="a3"/>
    <w:link w:val="Char2"/>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Char2">
    <w:name w:val="页脚 Char"/>
    <w:basedOn w:val="a4"/>
    <w:link w:val="ac"/>
    <w:uiPriority w:val="99"/>
    <w:rsid w:val="00EF2F35"/>
    <w:rPr>
      <w:rFonts w:ascii="Linux Libertine O" w:hAnsi="Linux Libertine O" w:cs="Linux Libertine O"/>
      <w:sz w:val="18"/>
      <w:szCs w:val="24"/>
      <w:lang w:eastAsia="ja-JP"/>
    </w:rPr>
  </w:style>
  <w:style w:type="character" w:styleId="ad">
    <w:name w:val="page number"/>
    <w:basedOn w:val="a4"/>
    <w:uiPriority w:val="99"/>
    <w:semiHidden/>
    <w:unhideWhenUsed/>
    <w:rsid w:val="00EF2F35"/>
    <w:rPr>
      <w:rFonts w:ascii="Linux Libertine O" w:hAnsi="Linux Libertine O" w:cs="Linux Libertine O"/>
    </w:rPr>
  </w:style>
  <w:style w:type="character" w:customStyle="1" w:styleId="1Char">
    <w:name w:val="标题 1 Char"/>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Char">
    <w:name w:val="标题 2 Char"/>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Char">
    <w:name w:val="标题 3 Char"/>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Char">
    <w:name w:val="标题 4 Char"/>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Char">
    <w:name w:val="标题 5 Char"/>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Char">
    <w:name w:val="标题 6 Char"/>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Char">
    <w:name w:val="标题 7 Char"/>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Char">
    <w:name w:val="标题 8 Char"/>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Char">
    <w:name w:val="标题 9 Char"/>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e">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0">
    <w:name w:val="Body Text"/>
    <w:basedOn w:val="a3"/>
    <w:link w:val="Char3"/>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Char3">
    <w:name w:val="正文文本 Char"/>
    <w:basedOn w:val="a4"/>
    <w:link w:val="af0"/>
    <w:uiPriority w:val="99"/>
    <w:semiHidden/>
    <w:rsid w:val="00EA5ED5"/>
    <w:rPr>
      <w:rFonts w:ascii="Linux Libertine O" w:hAnsi="Linux Libertine O" w:cs="Linux Libertine O"/>
      <w:sz w:val="18"/>
      <w:szCs w:val="24"/>
      <w:lang w:eastAsia="ja-JP"/>
    </w:rPr>
  </w:style>
  <w:style w:type="paragraph" w:styleId="22">
    <w:name w:val="Body Text 2"/>
    <w:basedOn w:val="a3"/>
    <w:link w:val="2Char0"/>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Char0">
    <w:name w:val="正文文本 2 Char"/>
    <w:basedOn w:val="a4"/>
    <w:link w:val="22"/>
    <w:uiPriority w:val="99"/>
    <w:semiHidden/>
    <w:rsid w:val="00EA5ED5"/>
    <w:rPr>
      <w:rFonts w:ascii="Linux Libertine O" w:hAnsi="Linux Libertine O" w:cs="Linux Libertine O"/>
      <w:sz w:val="18"/>
      <w:szCs w:val="24"/>
      <w:lang w:eastAsia="ja-JP"/>
    </w:rPr>
  </w:style>
  <w:style w:type="paragraph" w:styleId="32">
    <w:name w:val="Body Text 3"/>
    <w:basedOn w:val="a3"/>
    <w:link w:val="3Char0"/>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Char0">
    <w:name w:val="正文文本 3 Char"/>
    <w:basedOn w:val="a4"/>
    <w:link w:val="32"/>
    <w:uiPriority w:val="99"/>
    <w:semiHidden/>
    <w:rsid w:val="00EA5ED5"/>
    <w:rPr>
      <w:rFonts w:ascii="Linux Libertine O" w:hAnsi="Linux Libertine O" w:cs="Linux Libertine O"/>
      <w:sz w:val="16"/>
      <w:szCs w:val="16"/>
      <w:lang w:eastAsia="ja-JP"/>
    </w:rPr>
  </w:style>
  <w:style w:type="paragraph" w:styleId="af1">
    <w:name w:val="Body Text First Indent"/>
    <w:basedOn w:val="af0"/>
    <w:link w:val="Char4"/>
    <w:uiPriority w:val="99"/>
    <w:semiHidden/>
    <w:unhideWhenUsed/>
    <w:rsid w:val="00EA5ED5"/>
    <w:pPr>
      <w:spacing w:after="200"/>
      <w:ind w:firstLine="360"/>
    </w:pPr>
  </w:style>
  <w:style w:type="character" w:customStyle="1" w:styleId="Char4">
    <w:name w:val="正文首行缩进 Char"/>
    <w:basedOn w:val="Char3"/>
    <w:link w:val="af1"/>
    <w:uiPriority w:val="99"/>
    <w:semiHidden/>
    <w:rsid w:val="00EA5ED5"/>
    <w:rPr>
      <w:rFonts w:ascii="Linux Libertine O" w:hAnsi="Linux Libertine O" w:cs="Linux Libertine O"/>
      <w:sz w:val="18"/>
      <w:szCs w:val="24"/>
      <w:lang w:eastAsia="ja-JP"/>
    </w:rPr>
  </w:style>
  <w:style w:type="paragraph" w:styleId="af2">
    <w:name w:val="Body Text Indent"/>
    <w:basedOn w:val="a3"/>
    <w:link w:val="Char5"/>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Char5">
    <w:name w:val="正文文本缩进 Char"/>
    <w:basedOn w:val="a4"/>
    <w:link w:val="af2"/>
    <w:uiPriority w:val="99"/>
    <w:semiHidden/>
    <w:rsid w:val="00EA5ED5"/>
    <w:rPr>
      <w:rFonts w:ascii="Linux Libertine O" w:hAnsi="Linux Libertine O" w:cs="Linux Libertine O"/>
      <w:sz w:val="18"/>
      <w:szCs w:val="24"/>
      <w:lang w:eastAsia="ja-JP"/>
    </w:rPr>
  </w:style>
  <w:style w:type="paragraph" w:styleId="23">
    <w:name w:val="Body Text First Indent 2"/>
    <w:basedOn w:val="af2"/>
    <w:link w:val="2Char1"/>
    <w:uiPriority w:val="99"/>
    <w:semiHidden/>
    <w:unhideWhenUsed/>
    <w:rsid w:val="00EA5ED5"/>
    <w:pPr>
      <w:spacing w:after="200"/>
      <w:ind w:firstLine="360"/>
    </w:pPr>
  </w:style>
  <w:style w:type="character" w:customStyle="1" w:styleId="2Char1">
    <w:name w:val="正文首行缩进 2 Char"/>
    <w:basedOn w:val="Char5"/>
    <w:link w:val="23"/>
    <w:uiPriority w:val="99"/>
    <w:semiHidden/>
    <w:rsid w:val="00EA5ED5"/>
    <w:rPr>
      <w:rFonts w:ascii="Linux Libertine O" w:hAnsi="Linux Libertine O" w:cs="Linux Libertine O"/>
      <w:sz w:val="18"/>
      <w:szCs w:val="24"/>
      <w:lang w:eastAsia="ja-JP"/>
    </w:rPr>
  </w:style>
  <w:style w:type="paragraph" w:styleId="24">
    <w:name w:val="Body Text Indent 2"/>
    <w:basedOn w:val="a3"/>
    <w:link w:val="2Char2"/>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Char2">
    <w:name w:val="正文文本缩进 2 Char"/>
    <w:basedOn w:val="a4"/>
    <w:link w:val="24"/>
    <w:uiPriority w:val="99"/>
    <w:semiHidden/>
    <w:rsid w:val="00EA5ED5"/>
    <w:rPr>
      <w:rFonts w:ascii="Linux Libertine O" w:hAnsi="Linux Libertine O" w:cs="Linux Libertine O"/>
      <w:sz w:val="18"/>
      <w:szCs w:val="24"/>
      <w:lang w:eastAsia="ja-JP"/>
    </w:rPr>
  </w:style>
  <w:style w:type="paragraph" w:styleId="33">
    <w:name w:val="Body Text Indent 3"/>
    <w:basedOn w:val="a3"/>
    <w:link w:val="3Char1"/>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Char1">
    <w:name w:val="正文文本缩进 3 Char"/>
    <w:basedOn w:val="a4"/>
    <w:link w:val="33"/>
    <w:uiPriority w:val="99"/>
    <w:semiHidden/>
    <w:rsid w:val="00EA5ED5"/>
    <w:rPr>
      <w:rFonts w:ascii="Linux Libertine O" w:hAnsi="Linux Libertine O" w:cs="Linux Libertine O"/>
      <w:sz w:val="16"/>
      <w:szCs w:val="16"/>
      <w:lang w:eastAsia="ja-JP"/>
    </w:rPr>
  </w:style>
  <w:style w:type="character" w:styleId="af3">
    <w:name w:val="Book Title"/>
    <w:basedOn w:val="a4"/>
    <w:uiPriority w:val="33"/>
    <w:qFormat/>
    <w:rsid w:val="00EA5ED5"/>
    <w:rPr>
      <w:rFonts w:ascii="Linux Biolinum O" w:hAnsi="Linux Biolinum O" w:cs="Linux Biolinum O"/>
      <w:b/>
      <w:bCs/>
      <w:i/>
      <w:iCs/>
      <w:spacing w:val="5"/>
    </w:rPr>
  </w:style>
  <w:style w:type="paragraph" w:styleId="af4">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5">
    <w:name w:val="Closing"/>
    <w:basedOn w:val="a3"/>
    <w:link w:val="Char6"/>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6">
    <w:name w:val="结束语 Char"/>
    <w:basedOn w:val="a4"/>
    <w:link w:val="af5"/>
    <w:uiPriority w:val="99"/>
    <w:semiHidden/>
    <w:rsid w:val="00EA5ED5"/>
    <w:rPr>
      <w:rFonts w:ascii="Linux Libertine O" w:hAnsi="Linux Libertine O" w:cs="Linux Libertine O"/>
      <w:sz w:val="18"/>
      <w:szCs w:val="24"/>
      <w:lang w:eastAsia="ja-JP"/>
    </w:rPr>
  </w:style>
  <w:style w:type="table" w:styleId="af6">
    <w:name w:val="Colorful Grid"/>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7">
    <w:name w:val="Colorful List"/>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Shading"/>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9">
    <w:name w:val="annotation reference"/>
    <w:basedOn w:val="a4"/>
    <w:uiPriority w:val="99"/>
    <w:semiHidden/>
    <w:unhideWhenUsed/>
    <w:rsid w:val="00EA5ED5"/>
    <w:rPr>
      <w:rFonts w:ascii="Linux Biolinum O" w:hAnsi="Linux Biolinum O" w:cs="Linux Biolinum O"/>
      <w:sz w:val="16"/>
      <w:szCs w:val="16"/>
    </w:rPr>
  </w:style>
  <w:style w:type="paragraph" w:styleId="afa">
    <w:name w:val="annotation text"/>
    <w:basedOn w:val="a3"/>
    <w:link w:val="Char7"/>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har7">
    <w:name w:val="批注文字 Char"/>
    <w:basedOn w:val="a4"/>
    <w:link w:val="afa"/>
    <w:uiPriority w:val="99"/>
    <w:semiHidden/>
    <w:rsid w:val="00EA5ED5"/>
    <w:rPr>
      <w:rFonts w:ascii="Linux Libertine O" w:hAnsi="Linux Libertine O" w:cs="Linux Libertine O"/>
      <w:lang w:eastAsia="ja-JP"/>
    </w:rPr>
  </w:style>
  <w:style w:type="paragraph" w:styleId="afb">
    <w:name w:val="annotation subject"/>
    <w:basedOn w:val="afa"/>
    <w:next w:val="afa"/>
    <w:link w:val="Char8"/>
    <w:uiPriority w:val="99"/>
    <w:semiHidden/>
    <w:unhideWhenUsed/>
    <w:rsid w:val="00EA5ED5"/>
    <w:rPr>
      <w:b/>
      <w:bCs/>
    </w:rPr>
  </w:style>
  <w:style w:type="character" w:customStyle="1" w:styleId="Char8">
    <w:name w:val="批注主题 Char"/>
    <w:basedOn w:val="Char7"/>
    <w:link w:val="afb"/>
    <w:uiPriority w:val="99"/>
    <w:semiHidden/>
    <w:rsid w:val="00EA5ED5"/>
    <w:rPr>
      <w:rFonts w:ascii="Linux Libertine O" w:hAnsi="Linux Libertine O" w:cs="Linux Libertine O"/>
      <w:b/>
      <w:bCs/>
      <w:lang w:eastAsia="ja-JP"/>
    </w:rPr>
  </w:style>
  <w:style w:type="table" w:styleId="afc">
    <w:name w:val="Dark List"/>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d">
    <w:name w:val="Date"/>
    <w:basedOn w:val="a3"/>
    <w:next w:val="a3"/>
    <w:link w:val="Char9"/>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9">
    <w:name w:val="日期 Char"/>
    <w:basedOn w:val="a4"/>
    <w:link w:val="afd"/>
    <w:uiPriority w:val="99"/>
    <w:semiHidden/>
    <w:rsid w:val="00EA5ED5"/>
    <w:rPr>
      <w:rFonts w:ascii="Linux Libertine O" w:hAnsi="Linux Libertine O" w:cs="Linux Libertine O"/>
      <w:sz w:val="18"/>
      <w:szCs w:val="24"/>
      <w:lang w:eastAsia="ja-JP"/>
    </w:rPr>
  </w:style>
  <w:style w:type="paragraph" w:styleId="afe">
    <w:name w:val="Document Map"/>
    <w:basedOn w:val="a3"/>
    <w:link w:val="Chara"/>
    <w:uiPriority w:val="99"/>
    <w:semiHidden/>
    <w:unhideWhenUsed/>
    <w:rsid w:val="00EA5ED5"/>
    <w:rPr>
      <w:rFonts w:ascii="Linux Biolinum O" w:eastAsia="MS Mincho" w:hAnsi="Linux Biolinum O" w:cs="Linux Biolinum O"/>
      <w:sz w:val="16"/>
      <w:szCs w:val="16"/>
      <w:lang w:val="en-US" w:eastAsia="ja-JP"/>
    </w:rPr>
  </w:style>
  <w:style w:type="character" w:customStyle="1" w:styleId="Chara">
    <w:name w:val="文档结构图 Char"/>
    <w:basedOn w:val="a4"/>
    <w:link w:val="afe"/>
    <w:uiPriority w:val="99"/>
    <w:semiHidden/>
    <w:rsid w:val="00EA5ED5"/>
    <w:rPr>
      <w:rFonts w:ascii="Linux Biolinum O" w:hAnsi="Linux Biolinum O" w:cs="Linux Biolinum O"/>
      <w:sz w:val="16"/>
      <w:szCs w:val="16"/>
      <w:lang w:eastAsia="ja-JP"/>
    </w:rPr>
  </w:style>
  <w:style w:type="paragraph" w:styleId="aff">
    <w:name w:val="E-mail Signature"/>
    <w:basedOn w:val="a3"/>
    <w:link w:val="Charb"/>
    <w:uiPriority w:val="99"/>
    <w:semiHidden/>
    <w:unhideWhenUsed/>
    <w:rsid w:val="00EA5ED5"/>
    <w:rPr>
      <w:rFonts w:ascii="Linux Libertine O" w:eastAsia="MS Mincho" w:hAnsi="Linux Libertine O" w:cs="Linux Libertine O"/>
      <w:sz w:val="18"/>
      <w:lang w:val="en-US" w:eastAsia="ja-JP"/>
    </w:rPr>
  </w:style>
  <w:style w:type="character" w:customStyle="1" w:styleId="Charb">
    <w:name w:val="电子邮件签名 Char"/>
    <w:basedOn w:val="a4"/>
    <w:link w:val="aff"/>
    <w:uiPriority w:val="99"/>
    <w:semiHidden/>
    <w:rsid w:val="00EA5ED5"/>
    <w:rPr>
      <w:rFonts w:ascii="Linux Libertine O" w:hAnsi="Linux Libertine O" w:cs="Linux Libertine O"/>
      <w:sz w:val="18"/>
      <w:szCs w:val="24"/>
      <w:lang w:eastAsia="ja-JP"/>
    </w:rPr>
  </w:style>
  <w:style w:type="character" w:styleId="aff0">
    <w:name w:val="Emphasis"/>
    <w:basedOn w:val="a4"/>
    <w:uiPriority w:val="20"/>
    <w:qFormat/>
    <w:rsid w:val="00EA5ED5"/>
    <w:rPr>
      <w:rFonts w:ascii="Linux Biolinum O" w:hAnsi="Linux Biolinum O" w:cs="Linux Biolinum O"/>
      <w:i/>
      <w:iCs/>
    </w:rPr>
  </w:style>
  <w:style w:type="character" w:styleId="aff1">
    <w:name w:val="endnote reference"/>
    <w:basedOn w:val="a4"/>
    <w:uiPriority w:val="99"/>
    <w:semiHidden/>
    <w:unhideWhenUsed/>
    <w:rsid w:val="00EA5ED5"/>
    <w:rPr>
      <w:rFonts w:ascii="Linux Biolinum O" w:hAnsi="Linux Biolinum O" w:cs="Linux Biolinum O"/>
      <w:vertAlign w:val="superscript"/>
    </w:rPr>
  </w:style>
  <w:style w:type="paragraph" w:styleId="aff2">
    <w:name w:val="endnote text"/>
    <w:basedOn w:val="a3"/>
    <w:link w:val="Charc"/>
    <w:uiPriority w:val="99"/>
    <w:semiHidden/>
    <w:unhideWhenUsed/>
    <w:rsid w:val="00EA5ED5"/>
    <w:rPr>
      <w:rFonts w:ascii="Linux Libertine O" w:eastAsia="MS Mincho" w:hAnsi="Linux Libertine O" w:cs="Linux Libertine O"/>
      <w:sz w:val="20"/>
      <w:szCs w:val="20"/>
      <w:lang w:val="en-US" w:eastAsia="ja-JP"/>
    </w:rPr>
  </w:style>
  <w:style w:type="character" w:customStyle="1" w:styleId="Charc">
    <w:name w:val="尾注文本 Char"/>
    <w:basedOn w:val="a4"/>
    <w:link w:val="aff2"/>
    <w:uiPriority w:val="99"/>
    <w:semiHidden/>
    <w:rsid w:val="00EA5ED5"/>
    <w:rPr>
      <w:rFonts w:ascii="Linux Libertine O" w:hAnsi="Linux Libertine O" w:cs="Linux Libertine O"/>
      <w:lang w:eastAsia="ja-JP"/>
    </w:rPr>
  </w:style>
  <w:style w:type="paragraph" w:styleId="aff3">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4">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5">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GridTable1Light">
    <w:name w:val="Grid Table 1 Light"/>
    <w:basedOn w:val="a5"/>
    <w:uiPriority w:val="99"/>
    <w:rsid w:val="00EA5E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a5"/>
    <w:uiPriority w:val="46"/>
    <w:rsid w:val="00EA5ED5"/>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a5"/>
    <w:uiPriority w:val="46"/>
    <w:rsid w:val="00EA5ED5"/>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5"/>
    <w:uiPriority w:val="46"/>
    <w:rsid w:val="00EA5ED5"/>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5"/>
    <w:uiPriority w:val="46"/>
    <w:rsid w:val="00EA5ED5"/>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a5"/>
    <w:uiPriority w:val="46"/>
    <w:rsid w:val="00EA5ED5"/>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a5"/>
    <w:uiPriority w:val="46"/>
    <w:rsid w:val="00EA5ED5"/>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
    <w:name w:val="Grid Table 2"/>
    <w:basedOn w:val="a5"/>
    <w:uiPriority w:val="99"/>
    <w:rsid w:val="00EA5ED5"/>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a5"/>
    <w:uiPriority w:val="47"/>
    <w:rsid w:val="00EA5ED5"/>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
    <w:name w:val="Grid Table 2 Accent 2"/>
    <w:basedOn w:val="a5"/>
    <w:uiPriority w:val="47"/>
    <w:rsid w:val="00EA5ED5"/>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
    <w:name w:val="Grid Table 2 Accent 3"/>
    <w:basedOn w:val="a5"/>
    <w:uiPriority w:val="47"/>
    <w:rsid w:val="00EA5ED5"/>
    <w:tblPr>
      <w:tblStyleRowBandSize w:val="1"/>
      <w:tblStyleColBandSize w:val="1"/>
      <w:tblInd w:w="0" w:type="dxa"/>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CellMar>
        <w:top w:w="0" w:type="dxa"/>
        <w:left w:w="108" w:type="dxa"/>
        <w:bottom w:w="0" w:type="dxa"/>
        <w:right w:w="108" w:type="dxa"/>
      </w:tblCellMar>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
    <w:name w:val="Grid Table 2 Accent 4"/>
    <w:basedOn w:val="a5"/>
    <w:uiPriority w:val="47"/>
    <w:rsid w:val="00EA5ED5"/>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
    <w:name w:val="Grid Table 2 Accent 5"/>
    <w:basedOn w:val="a5"/>
    <w:uiPriority w:val="47"/>
    <w:rsid w:val="00EA5ED5"/>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
    <w:name w:val="Grid Table 2 Accent 6"/>
    <w:basedOn w:val="a5"/>
    <w:uiPriority w:val="47"/>
    <w:rsid w:val="00EA5ED5"/>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
    <w:name w:val="Grid Table 3"/>
    <w:basedOn w:val="a5"/>
    <w:uiPriority w:val="9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a5"/>
    <w:uiPriority w:val="48"/>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
    <w:name w:val="Grid Table 3 Accent 2"/>
    <w:basedOn w:val="a5"/>
    <w:uiPriority w:val="48"/>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
    <w:name w:val="Grid Table 3 Accent 3"/>
    <w:basedOn w:val="a5"/>
    <w:uiPriority w:val="48"/>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
    <w:name w:val="Grid Table 3 Accent 4"/>
    <w:basedOn w:val="a5"/>
    <w:uiPriority w:val="48"/>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
    <w:name w:val="Grid Table 3 Accent 5"/>
    <w:basedOn w:val="a5"/>
    <w:uiPriority w:val="48"/>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
    <w:name w:val="Grid Table 3 Accent 6"/>
    <w:basedOn w:val="a5"/>
    <w:uiPriority w:val="48"/>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
    <w:name w:val="Grid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
    <w:name w:val="Grid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
    <w:name w:val="Grid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
    <w:name w:val="Grid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
    <w:name w:val="Grid Table 5 Dark"/>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
    <w:name w:val="Grid Table 5 Dark Accent 2"/>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
    <w:name w:val="Grid Table 5 Dark Accent 3"/>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
    <w:name w:val="Grid Table 5 Dark Accent 4"/>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
    <w:name w:val="Grid Table 5 Dark Accent 5"/>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
    <w:name w:val="Grid Table 5 Dark Accent 6"/>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
    <w:name w:val="Grid Table 6 Colorful"/>
    <w:basedOn w:val="a5"/>
    <w:uiPriority w:val="51"/>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a5"/>
    <w:uiPriority w:val="51"/>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
    <w:name w:val="Grid Table 6 Colorful Accent 2"/>
    <w:basedOn w:val="a5"/>
    <w:uiPriority w:val="51"/>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
    <w:name w:val="Grid Table 6 Colorful Accent 3"/>
    <w:basedOn w:val="a5"/>
    <w:uiPriority w:val="51"/>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
    <w:name w:val="Grid Table 6 Colorful Accent 4"/>
    <w:basedOn w:val="a5"/>
    <w:uiPriority w:val="51"/>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
    <w:name w:val="Grid Table 6 Colorful Accent 5"/>
    <w:basedOn w:val="a5"/>
    <w:uiPriority w:val="51"/>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
    <w:name w:val="Grid Table 6 Colorful Accent 6"/>
    <w:basedOn w:val="a5"/>
    <w:uiPriority w:val="51"/>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
    <w:name w:val="Grid Table 7 Colorful"/>
    <w:basedOn w:val="a5"/>
    <w:uiPriority w:val="52"/>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a5"/>
    <w:uiPriority w:val="52"/>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
    <w:name w:val="Grid Table 7 Colorful Accent 2"/>
    <w:basedOn w:val="a5"/>
    <w:uiPriority w:val="52"/>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
    <w:name w:val="Grid Table 7 Colorful Accent 3"/>
    <w:basedOn w:val="a5"/>
    <w:uiPriority w:val="52"/>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
    <w:name w:val="Grid Table 7 Colorful Accent 4"/>
    <w:basedOn w:val="a5"/>
    <w:uiPriority w:val="52"/>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
    <w:name w:val="Grid Table 7 Colorful Accent 5"/>
    <w:basedOn w:val="a5"/>
    <w:uiPriority w:val="52"/>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
    <w:name w:val="Grid Table 7 Colorful Accent 6"/>
    <w:basedOn w:val="a5"/>
    <w:uiPriority w:val="52"/>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a4"/>
    <w:uiPriority w:val="99"/>
    <w:semiHidden/>
    <w:unhideWhenUsed/>
    <w:rsid w:val="00EA5ED5"/>
    <w:rPr>
      <w:rFonts w:ascii="Linux Biolinum O" w:hAnsi="Linux Biolinum O" w:cs="Linux Biolinum O"/>
      <w:color w:val="2B579A"/>
      <w:shd w:val="clear" w:color="auto" w:fill="E1DFDD"/>
    </w:rPr>
  </w:style>
  <w:style w:type="paragraph" w:styleId="aff6">
    <w:name w:val="header"/>
    <w:basedOn w:val="a3"/>
    <w:link w:val="Chard"/>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Chard">
    <w:name w:val="页眉 Char"/>
    <w:basedOn w:val="a4"/>
    <w:link w:val="aff6"/>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Char">
    <w:name w:val="HTML 地址 Char"/>
    <w:basedOn w:val="a4"/>
    <w:link w:val="HTML0"/>
    <w:uiPriority w:val="99"/>
    <w:semiHidden/>
    <w:rsid w:val="00EA5ED5"/>
    <w:rPr>
      <w:rFonts w:ascii="Linux Libertine O" w:hAnsi="Linux Libertine O" w:cs="Linux Libertine O"/>
      <w:i/>
      <w:iCs/>
      <w:sz w:val="18"/>
      <w:szCs w:val="24"/>
      <w:lang w:eastAsia="ja-JP"/>
    </w:rPr>
  </w:style>
  <w:style w:type="character" w:styleId="HTML1">
    <w:name w:val="HTML Cite"/>
    <w:basedOn w:val="a4"/>
    <w:uiPriority w:val="99"/>
    <w:semiHidden/>
    <w:unhideWhenUsed/>
    <w:rsid w:val="00EA5ED5"/>
    <w:rPr>
      <w:rFonts w:ascii="Linux Biolinum O" w:hAnsi="Linux Biolinum O" w:cs="Linux Biolinum O"/>
      <w:i/>
      <w:iCs/>
    </w:rPr>
  </w:style>
  <w:style w:type="character" w:styleId="HTML2">
    <w:name w:val="HTML Code"/>
    <w:basedOn w:val="a4"/>
    <w:uiPriority w:val="99"/>
    <w:semiHidden/>
    <w:unhideWhenUsed/>
    <w:rsid w:val="00EA5ED5"/>
    <w:rPr>
      <w:rFonts w:ascii="Linux Biolinum O" w:hAnsi="Linux Biolinum O" w:cs="Linux Biolinum O"/>
      <w:sz w:val="20"/>
      <w:szCs w:val="20"/>
    </w:rPr>
  </w:style>
  <w:style w:type="character" w:styleId="HTML3">
    <w:name w:val="HTML Definition"/>
    <w:basedOn w:val="a4"/>
    <w:uiPriority w:val="99"/>
    <w:semiHidden/>
    <w:unhideWhenUsed/>
    <w:rsid w:val="00EA5ED5"/>
    <w:rPr>
      <w:rFonts w:ascii="Linux Biolinum O" w:hAnsi="Linux Biolinum O" w:cs="Linux Biolinum O"/>
      <w:i/>
      <w:iCs/>
    </w:rPr>
  </w:style>
  <w:style w:type="character" w:styleId="HTML4">
    <w:name w:val="HTML Keyboard"/>
    <w:basedOn w:val="a4"/>
    <w:uiPriority w:val="99"/>
    <w:semiHidden/>
    <w:unhideWhenUsed/>
    <w:rsid w:val="00EA5ED5"/>
    <w:rPr>
      <w:rFonts w:ascii="Linux Biolinum O" w:hAnsi="Linux Biolinum O" w:cs="Linux Biolinum O"/>
      <w:sz w:val="20"/>
      <w:szCs w:val="20"/>
    </w:rPr>
  </w:style>
  <w:style w:type="paragraph" w:styleId="HTML5">
    <w:name w:val="HTML Preformatted"/>
    <w:basedOn w:val="a3"/>
    <w:link w:val="HTMLChar0"/>
    <w:uiPriority w:val="99"/>
    <w:semiHidden/>
    <w:unhideWhenUsed/>
    <w:rsid w:val="00EA5ED5"/>
    <w:rPr>
      <w:rFonts w:ascii="Linux Biolinum O" w:eastAsia="MS Mincho" w:hAnsi="Linux Biolinum O" w:cs="Linux Biolinum O"/>
      <w:sz w:val="20"/>
      <w:szCs w:val="20"/>
      <w:lang w:val="en-US" w:eastAsia="ja-JP"/>
    </w:rPr>
  </w:style>
  <w:style w:type="character" w:customStyle="1" w:styleId="HTMLChar0">
    <w:name w:val="HTML 预设格式 Char"/>
    <w:basedOn w:val="a4"/>
    <w:link w:val="HTML5"/>
    <w:uiPriority w:val="99"/>
    <w:semiHidden/>
    <w:rsid w:val="00EA5ED5"/>
    <w:rPr>
      <w:rFonts w:ascii="Linux Biolinum O" w:hAnsi="Linux Biolinum O" w:cs="Linux Biolinum O"/>
      <w:lang w:eastAsia="ja-JP"/>
    </w:rPr>
  </w:style>
  <w:style w:type="character" w:styleId="HTML6">
    <w:name w:val="HTML Sample"/>
    <w:basedOn w:val="a4"/>
    <w:uiPriority w:val="99"/>
    <w:semiHidden/>
    <w:unhideWhenUsed/>
    <w:rsid w:val="00EA5ED5"/>
    <w:rPr>
      <w:rFonts w:ascii="Linux Biolinum O" w:hAnsi="Linux Biolinum O" w:cs="Linux Biolinum O"/>
      <w:sz w:val="24"/>
      <w:szCs w:val="24"/>
    </w:rPr>
  </w:style>
  <w:style w:type="character" w:styleId="HTML7">
    <w:name w:val="HTML Typewriter"/>
    <w:basedOn w:val="a4"/>
    <w:uiPriority w:val="99"/>
    <w:semiHidden/>
    <w:unhideWhenUsed/>
    <w:rsid w:val="00EA5ED5"/>
    <w:rPr>
      <w:rFonts w:ascii="Linux Biolinum O" w:hAnsi="Linux Biolinum O" w:cs="Linux Biolinum O"/>
      <w:sz w:val="20"/>
      <w:szCs w:val="20"/>
    </w:rPr>
  </w:style>
  <w:style w:type="character" w:styleId="HTML8">
    <w:name w:val="HTML Variable"/>
    <w:basedOn w:val="a4"/>
    <w:uiPriority w:val="99"/>
    <w:semiHidden/>
    <w:unhideWhenUsed/>
    <w:rsid w:val="00EA5ED5"/>
    <w:rPr>
      <w:rFonts w:ascii="Linux Biolinum O" w:hAnsi="Linux Biolinum O" w:cs="Linux Biolinum O"/>
      <w:i/>
      <w:iCs/>
    </w:rPr>
  </w:style>
  <w:style w:type="paragraph" w:styleId="10">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5">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4">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2">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2">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0">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0">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0">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0">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7">
    <w:name w:val="index heading"/>
    <w:basedOn w:val="a3"/>
    <w:next w:val="10"/>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8">
    <w:name w:val="Intense Emphasis"/>
    <w:basedOn w:val="a4"/>
    <w:uiPriority w:val="21"/>
    <w:qFormat/>
    <w:rsid w:val="00EA5ED5"/>
    <w:rPr>
      <w:rFonts w:ascii="Linux Biolinum O" w:hAnsi="Linux Biolinum O" w:cs="Linux Biolinum O"/>
      <w:i/>
      <w:iCs/>
      <w:color w:val="4F81BD" w:themeColor="accent1"/>
    </w:rPr>
  </w:style>
  <w:style w:type="paragraph" w:styleId="aff9">
    <w:name w:val="Intense Quote"/>
    <w:basedOn w:val="a3"/>
    <w:next w:val="a3"/>
    <w:link w:val="Chare"/>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Chare">
    <w:name w:val="明显引用 Char"/>
    <w:basedOn w:val="a4"/>
    <w:link w:val="aff9"/>
    <w:uiPriority w:val="30"/>
    <w:rsid w:val="00EA5ED5"/>
    <w:rPr>
      <w:rFonts w:ascii="Linux Libertine O" w:hAnsi="Linux Libertine O" w:cs="Linux Libertine O"/>
      <w:i/>
      <w:iCs/>
      <w:color w:val="4F81BD" w:themeColor="accent1"/>
      <w:sz w:val="18"/>
      <w:szCs w:val="24"/>
      <w:lang w:eastAsia="ja-JP"/>
    </w:rPr>
  </w:style>
  <w:style w:type="character" w:styleId="a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b">
    <w:name w:val="Light Grid"/>
    <w:basedOn w:val="a5"/>
    <w:uiPriority w:val="62"/>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c">
    <w:name w:val="Light List"/>
    <w:basedOn w:val="a5"/>
    <w:uiPriority w:val="61"/>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Shading"/>
    <w:basedOn w:val="a5"/>
    <w:uiPriority w:val="60"/>
    <w:semiHidden/>
    <w:unhideWhenUsed/>
    <w:rsid w:val="00EA5ED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e">
    <w:name w:val="line number"/>
    <w:basedOn w:val="a4"/>
    <w:uiPriority w:val="99"/>
    <w:semiHidden/>
    <w:unhideWhenUsed/>
    <w:rsid w:val="00EA5ED5"/>
    <w:rPr>
      <w:rFonts w:ascii="Linux Biolinum O" w:hAnsi="Linux Biolinum O" w:cs="Linux Biolinum O"/>
    </w:rPr>
  </w:style>
  <w:style w:type="paragraph" w:styleId="a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6">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5">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3">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3">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7">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6">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4">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4">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ListTable1Light">
    <w:name w:val="List Table 1 Light"/>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
    <w:name w:val="List Table 1 Light Accent 2"/>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
    <w:name w:val="List Table 1 Light Accent 3"/>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
    <w:name w:val="List Table 1 Light Accent 4"/>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
    <w:name w:val="List Table 1 Light Accent 5"/>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
    <w:name w:val="List Table 1 Light Accent 6"/>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
    <w:name w:val="List Table 2"/>
    <w:basedOn w:val="a5"/>
    <w:uiPriority w:val="47"/>
    <w:rsid w:val="00EA5ED5"/>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a5"/>
    <w:uiPriority w:val="47"/>
    <w:rsid w:val="00EA5ED5"/>
    <w:tblPr>
      <w:tblStyleRowBandSize w:val="1"/>
      <w:tblStyleColBandSize w:val="1"/>
      <w:tblInd w:w="0" w:type="dxa"/>
      <w:tblBorders>
        <w:top w:val="single" w:sz="4" w:space="0" w:color="95B3D7" w:themeColor="accent1" w:themeTint="99"/>
        <w:bottom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
    <w:name w:val="List Table 2 Accent 2"/>
    <w:basedOn w:val="a5"/>
    <w:uiPriority w:val="47"/>
    <w:rsid w:val="00EA5ED5"/>
    <w:tblPr>
      <w:tblStyleRowBandSize w:val="1"/>
      <w:tblStyleColBandSize w:val="1"/>
      <w:tblInd w:w="0" w:type="dxa"/>
      <w:tblBorders>
        <w:top w:val="single" w:sz="4" w:space="0" w:color="D99594" w:themeColor="accent2" w:themeTint="99"/>
        <w:bottom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
    <w:name w:val="List Table 2 Accent 3"/>
    <w:basedOn w:val="a5"/>
    <w:uiPriority w:val="47"/>
    <w:rsid w:val="00EA5ED5"/>
    <w:tblPr>
      <w:tblStyleRowBandSize w:val="1"/>
      <w:tblStyleColBandSize w:val="1"/>
      <w:tblInd w:w="0" w:type="dxa"/>
      <w:tblBorders>
        <w:top w:val="single" w:sz="4" w:space="0" w:color="C2D69B" w:themeColor="accent3" w:themeTint="99"/>
        <w:bottom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
    <w:name w:val="List Table 2 Accent 4"/>
    <w:basedOn w:val="a5"/>
    <w:uiPriority w:val="47"/>
    <w:rsid w:val="00EA5ED5"/>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
    <w:name w:val="List Table 2 Accent 5"/>
    <w:basedOn w:val="a5"/>
    <w:uiPriority w:val="47"/>
    <w:rsid w:val="00EA5ED5"/>
    <w:tblPr>
      <w:tblStyleRowBandSize w:val="1"/>
      <w:tblStyleColBandSize w:val="1"/>
      <w:tblInd w:w="0" w:type="dxa"/>
      <w:tblBorders>
        <w:top w:val="single" w:sz="4" w:space="0" w:color="92CDDC" w:themeColor="accent5" w:themeTint="99"/>
        <w:bottom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
    <w:name w:val="List Table 2 Accent 6"/>
    <w:basedOn w:val="a5"/>
    <w:uiPriority w:val="47"/>
    <w:rsid w:val="00EA5ED5"/>
    <w:tblPr>
      <w:tblStyleRowBandSize w:val="1"/>
      <w:tblStyleColBandSize w:val="1"/>
      <w:tblInd w:w="0" w:type="dxa"/>
      <w:tblBorders>
        <w:top w:val="single" w:sz="4" w:space="0" w:color="FABF8F" w:themeColor="accent6" w:themeTint="99"/>
        <w:bottom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
    <w:name w:val="List Table 3"/>
    <w:basedOn w:val="a5"/>
    <w:uiPriority w:val="48"/>
    <w:rsid w:val="00EA5ED5"/>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a5"/>
    <w:uiPriority w:val="48"/>
    <w:rsid w:val="00EA5ED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
    <w:name w:val="List Table 3 Accent 2"/>
    <w:basedOn w:val="a5"/>
    <w:uiPriority w:val="48"/>
    <w:rsid w:val="00EA5ED5"/>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
    <w:name w:val="List Table 3 Accent 3"/>
    <w:basedOn w:val="a5"/>
    <w:uiPriority w:val="48"/>
    <w:rsid w:val="00EA5ED5"/>
    <w:tblPr>
      <w:tblStyleRowBandSize w:val="1"/>
      <w:tblStyleColBandSize w:val="1"/>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
    <w:name w:val="List Table 3 Accent 4"/>
    <w:basedOn w:val="a5"/>
    <w:uiPriority w:val="48"/>
    <w:rsid w:val="00EA5ED5"/>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
    <w:name w:val="List Table 3 Accent 5"/>
    <w:basedOn w:val="a5"/>
    <w:uiPriority w:val="48"/>
    <w:rsid w:val="00EA5ED5"/>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
    <w:name w:val="List Table 3 Accent 6"/>
    <w:basedOn w:val="a5"/>
    <w:uiPriority w:val="48"/>
    <w:rsid w:val="00EA5ED5"/>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
    <w:name w:val="List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
    <w:name w:val="List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
    <w:name w:val="List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
    <w:name w:val="List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
    <w:name w:val="List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
    <w:name w:val="List Table 5 Dark"/>
    <w:basedOn w:val="a5"/>
    <w:uiPriority w:val="50"/>
    <w:rsid w:val="00EA5ED5"/>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a5"/>
    <w:uiPriority w:val="50"/>
    <w:rsid w:val="00EA5ED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a5"/>
    <w:uiPriority w:val="50"/>
    <w:rsid w:val="00EA5ED5"/>
    <w:rPr>
      <w:color w:val="FFFFFF" w:themeColor="background1"/>
    </w:rPr>
    <w:tblPr>
      <w:tblStyleRowBandSize w:val="1"/>
      <w:tblStyleColBandSize w:val="1"/>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a5"/>
    <w:uiPriority w:val="50"/>
    <w:rsid w:val="00EA5ED5"/>
    <w:rPr>
      <w:color w:val="FFFFFF" w:themeColor="background1"/>
    </w:rPr>
    <w:tblPr>
      <w:tblStyleRowBandSize w:val="1"/>
      <w:tblStyleColBandSize w:val="1"/>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a5"/>
    <w:uiPriority w:val="50"/>
    <w:rsid w:val="00EA5ED5"/>
    <w:rPr>
      <w:color w:val="FFFFFF" w:themeColor="background1"/>
    </w:rPr>
    <w:tblPr>
      <w:tblStyleRowBandSize w:val="1"/>
      <w:tblStyleColBandSize w:val="1"/>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a5"/>
    <w:uiPriority w:val="50"/>
    <w:rsid w:val="00EA5ED5"/>
    <w:rPr>
      <w:color w:val="FFFFFF" w:themeColor="background1"/>
    </w:rPr>
    <w:tblPr>
      <w:tblStyleRowBandSize w:val="1"/>
      <w:tblStyleColBandSize w:val="1"/>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a5"/>
    <w:uiPriority w:val="50"/>
    <w:rsid w:val="00EA5ED5"/>
    <w:rPr>
      <w:color w:val="FFFFFF" w:themeColor="background1"/>
    </w:rPr>
    <w:tblPr>
      <w:tblStyleRowBandSize w:val="1"/>
      <w:tblStyleColBandSize w:val="1"/>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a5"/>
    <w:uiPriority w:val="51"/>
    <w:rsid w:val="00EA5ED5"/>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a5"/>
    <w:uiPriority w:val="51"/>
    <w:rsid w:val="00EA5ED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
    <w:name w:val="List Table 6 Colorful Accent 2"/>
    <w:basedOn w:val="a5"/>
    <w:uiPriority w:val="51"/>
    <w:rsid w:val="00EA5ED5"/>
    <w:rPr>
      <w:color w:val="943634" w:themeColor="accent2" w:themeShade="BF"/>
    </w:rPr>
    <w:tblPr>
      <w:tblStyleRowBandSize w:val="1"/>
      <w:tblStyleColBandSize w:val="1"/>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
    <w:name w:val="List Table 6 Colorful Accent 3"/>
    <w:basedOn w:val="a5"/>
    <w:uiPriority w:val="51"/>
    <w:rsid w:val="00EA5ED5"/>
    <w:rPr>
      <w:color w:val="76923C" w:themeColor="accent3" w:themeShade="BF"/>
    </w:rPr>
    <w:tblPr>
      <w:tblStyleRowBandSize w:val="1"/>
      <w:tblStyleColBandSize w:val="1"/>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
    <w:name w:val="List Table 6 Colorful Accent 4"/>
    <w:basedOn w:val="a5"/>
    <w:uiPriority w:val="51"/>
    <w:rsid w:val="00EA5ED5"/>
    <w:rPr>
      <w:color w:val="5F497A" w:themeColor="accent4" w:themeShade="BF"/>
    </w:rPr>
    <w:tblPr>
      <w:tblStyleRowBandSize w:val="1"/>
      <w:tblStyleColBandSize w:val="1"/>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
    <w:name w:val="List Table 6 Colorful Accent 5"/>
    <w:basedOn w:val="a5"/>
    <w:uiPriority w:val="51"/>
    <w:rsid w:val="00EA5ED5"/>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
    <w:name w:val="List Table 6 Colorful Accent 6"/>
    <w:basedOn w:val="a5"/>
    <w:uiPriority w:val="51"/>
    <w:rsid w:val="00EA5ED5"/>
    <w:rPr>
      <w:color w:val="E36C0A" w:themeColor="accent6" w:themeShade="BF"/>
    </w:rPr>
    <w:tblPr>
      <w:tblStyleRowBandSize w:val="1"/>
      <w:tblStyleColBandSize w:val="1"/>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
    <w:name w:val="List Table 7 Colorful"/>
    <w:basedOn w:val="a5"/>
    <w:uiPriority w:val="52"/>
    <w:rsid w:val="00EA5ED5"/>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a5"/>
    <w:uiPriority w:val="52"/>
    <w:rsid w:val="00EA5ED5"/>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a5"/>
    <w:uiPriority w:val="52"/>
    <w:rsid w:val="00EA5ED5"/>
    <w:rPr>
      <w:color w:val="943634"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a5"/>
    <w:uiPriority w:val="52"/>
    <w:rsid w:val="00EA5ED5"/>
    <w:rPr>
      <w:color w:val="7692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a5"/>
    <w:uiPriority w:val="52"/>
    <w:rsid w:val="00EA5ED5"/>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a5"/>
    <w:uiPriority w:val="52"/>
    <w:rsid w:val="00EA5ED5"/>
    <w:rPr>
      <w:color w:val="31849B"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a5"/>
    <w:uiPriority w:val="52"/>
    <w:rsid w:val="00EA5ED5"/>
    <w:rPr>
      <w:color w:val="E36C0A"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f"/>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Charf">
    <w:name w:val="宏文本 Char"/>
    <w:basedOn w:val="a4"/>
    <w:link w:val="afff1"/>
    <w:uiPriority w:val="99"/>
    <w:semiHidden/>
    <w:rsid w:val="00EA5ED5"/>
    <w:rPr>
      <w:rFonts w:ascii="Linux Biolinum O" w:hAnsi="Linux Biolinum O" w:cs="Linux Biolinum O"/>
      <w:lang w:eastAsia="ja-JP"/>
    </w:rPr>
  </w:style>
  <w:style w:type="table" w:styleId="11">
    <w:name w:val="Medium Grid 1"/>
    <w:basedOn w:val="a5"/>
    <w:uiPriority w:val="67"/>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w:basedOn w:val="a5"/>
    <w:uiPriority w:val="65"/>
    <w:semiHidden/>
    <w:unhideWhenUsed/>
    <w:rsid w:val="00EA5ED5"/>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5"/>
    <w:uiPriority w:val="63"/>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63"/>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5"/>
    <w:uiPriority w:val="63"/>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5"/>
    <w:uiPriority w:val="63"/>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5"/>
    <w:uiPriority w:val="63"/>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5"/>
    <w:uiPriority w:val="63"/>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5"/>
    <w:uiPriority w:val="63"/>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1">
    <w:name w:val="Medium Shading 2 Accent 1"/>
    <w:basedOn w:val="a5"/>
    <w:uiPriority w:val="64"/>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1">
    <w:name w:val="Medium Shading 2 Accent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1">
    <w:name w:val="Medium Shading 2 Accent 3"/>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1">
    <w:name w:val="Medium Shading 2 Accent 4"/>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1">
    <w:name w:val="Medium Shading 2 Accent 5"/>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1">
    <w:name w:val="Medium Shading 2 Accent 6"/>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a4"/>
    <w:uiPriority w:val="99"/>
    <w:semiHidden/>
    <w:unhideWhenUsed/>
    <w:rsid w:val="00EA5ED5"/>
    <w:rPr>
      <w:rFonts w:ascii="Linux Biolinum O" w:hAnsi="Linux Biolinum O" w:cs="Linux Biolinum O"/>
      <w:color w:val="2B579A"/>
      <w:shd w:val="clear" w:color="auto" w:fill="E1DFDD"/>
    </w:rPr>
  </w:style>
  <w:style w:type="paragraph" w:styleId="afff2">
    <w:name w:val="Message Header"/>
    <w:basedOn w:val="a3"/>
    <w:link w:val="Charf0"/>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Charf0">
    <w:name w:val="信息标题 Char"/>
    <w:basedOn w:val="a4"/>
    <w:link w:val="afff2"/>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3">
    <w:name w:val="No Spacing"/>
    <w:uiPriority w:val="1"/>
    <w:qFormat/>
    <w:rsid w:val="00EA5ED5"/>
    <w:rPr>
      <w:rFonts w:ascii="Linux Biolinum O" w:hAnsi="Linux Biolinum O" w:cs="Linux Biolinum O"/>
      <w:sz w:val="18"/>
      <w:szCs w:val="24"/>
      <w:lang w:eastAsia="ja-JP"/>
    </w:rPr>
  </w:style>
  <w:style w:type="paragraph" w:styleId="afff4">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5">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6">
    <w:name w:val="Note Heading"/>
    <w:basedOn w:val="a3"/>
    <w:next w:val="a3"/>
    <w:link w:val="Charf1"/>
    <w:uiPriority w:val="99"/>
    <w:semiHidden/>
    <w:unhideWhenUsed/>
    <w:rsid w:val="00EA5ED5"/>
    <w:rPr>
      <w:rFonts w:ascii="Linux Libertine O" w:eastAsia="MS Mincho" w:hAnsi="Linux Libertine O" w:cs="Linux Libertine O"/>
      <w:sz w:val="18"/>
      <w:lang w:val="en-US" w:eastAsia="ja-JP"/>
    </w:rPr>
  </w:style>
  <w:style w:type="character" w:customStyle="1" w:styleId="Charf1">
    <w:name w:val="注释标题 Char"/>
    <w:basedOn w:val="a4"/>
    <w:link w:val="afff6"/>
    <w:uiPriority w:val="99"/>
    <w:semiHidden/>
    <w:rsid w:val="00EA5ED5"/>
    <w:rPr>
      <w:rFonts w:ascii="Linux Libertine O" w:hAnsi="Linux Libertine O" w:cs="Linux Libertine O"/>
      <w:sz w:val="18"/>
      <w:szCs w:val="24"/>
      <w:lang w:eastAsia="ja-JP"/>
    </w:rPr>
  </w:style>
  <w:style w:type="character" w:styleId="afff7">
    <w:name w:val="Placeholder Text"/>
    <w:basedOn w:val="a4"/>
    <w:uiPriority w:val="99"/>
    <w:semiHidden/>
    <w:rsid w:val="00EA5ED5"/>
    <w:rPr>
      <w:rFonts w:ascii="Linux Biolinum O" w:hAnsi="Linux Biolinum O" w:cs="Linux Biolinum O"/>
      <w:color w:val="808080"/>
    </w:rPr>
  </w:style>
  <w:style w:type="table" w:customStyle="1" w:styleId="PlainTable1">
    <w:name w:val="Plain Table 1"/>
    <w:basedOn w:val="a5"/>
    <w:uiPriority w:val="99"/>
    <w:rsid w:val="00EA5ED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5"/>
    <w:uiPriority w:val="99"/>
    <w:rsid w:val="00EA5ED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Plain Text"/>
    <w:basedOn w:val="a3"/>
    <w:link w:val="Charf2"/>
    <w:uiPriority w:val="99"/>
    <w:semiHidden/>
    <w:unhideWhenUsed/>
    <w:rsid w:val="00EA5ED5"/>
    <w:rPr>
      <w:rFonts w:ascii="Linux Biolinum O" w:eastAsia="MS Mincho" w:hAnsi="Linux Biolinum O" w:cs="Linux Biolinum O"/>
      <w:sz w:val="21"/>
      <w:szCs w:val="21"/>
      <w:lang w:val="en-US" w:eastAsia="ja-JP"/>
    </w:rPr>
  </w:style>
  <w:style w:type="character" w:customStyle="1" w:styleId="Charf2">
    <w:name w:val="纯文本 Char"/>
    <w:basedOn w:val="a4"/>
    <w:link w:val="afff8"/>
    <w:uiPriority w:val="99"/>
    <w:semiHidden/>
    <w:rsid w:val="00EA5ED5"/>
    <w:rPr>
      <w:rFonts w:ascii="Linux Biolinum O" w:hAnsi="Linux Biolinum O" w:cs="Linux Biolinum O"/>
      <w:sz w:val="21"/>
      <w:szCs w:val="21"/>
      <w:lang w:eastAsia="ja-JP"/>
    </w:rPr>
  </w:style>
  <w:style w:type="paragraph" w:styleId="afff9">
    <w:name w:val="Quote"/>
    <w:basedOn w:val="a3"/>
    <w:next w:val="a3"/>
    <w:link w:val="Charf3"/>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Charf3">
    <w:name w:val="引用 Char"/>
    <w:basedOn w:val="a4"/>
    <w:link w:val="afff9"/>
    <w:uiPriority w:val="29"/>
    <w:rsid w:val="00EA5ED5"/>
    <w:rPr>
      <w:rFonts w:ascii="Linux Libertine O" w:hAnsi="Linux Libertine O" w:cs="Linux Libertine O"/>
      <w:i/>
      <w:iCs/>
      <w:color w:val="404040" w:themeColor="text1" w:themeTint="BF"/>
      <w:sz w:val="18"/>
      <w:szCs w:val="24"/>
      <w:lang w:eastAsia="ja-JP"/>
    </w:rPr>
  </w:style>
  <w:style w:type="paragraph" w:styleId="afffa">
    <w:name w:val="Salutation"/>
    <w:basedOn w:val="a3"/>
    <w:next w:val="a3"/>
    <w:link w:val="Charf4"/>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f4">
    <w:name w:val="称呼 Char"/>
    <w:basedOn w:val="a4"/>
    <w:link w:val="afffa"/>
    <w:uiPriority w:val="99"/>
    <w:semiHidden/>
    <w:rsid w:val="00EA5ED5"/>
    <w:rPr>
      <w:rFonts w:ascii="Linux Libertine O" w:hAnsi="Linux Libertine O" w:cs="Linux Libertine O"/>
      <w:sz w:val="18"/>
      <w:szCs w:val="24"/>
      <w:lang w:eastAsia="ja-JP"/>
    </w:rPr>
  </w:style>
  <w:style w:type="paragraph" w:styleId="afffb">
    <w:name w:val="Signature"/>
    <w:basedOn w:val="a3"/>
    <w:link w:val="Charf5"/>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f5">
    <w:name w:val="签名 Char"/>
    <w:basedOn w:val="a4"/>
    <w:link w:val="afffb"/>
    <w:uiPriority w:val="99"/>
    <w:semiHidden/>
    <w:rsid w:val="00EA5ED5"/>
    <w:rPr>
      <w:rFonts w:ascii="Linux Libertine O" w:hAnsi="Linux Libertine O" w:cs="Linux Libertine O"/>
      <w:sz w:val="18"/>
      <w:szCs w:val="24"/>
      <w:lang w:eastAsia="ja-JP"/>
    </w:rPr>
  </w:style>
  <w:style w:type="character" w:customStyle="1" w:styleId="SmartHyperlink">
    <w:name w:val="Smart Hyperlink"/>
    <w:basedOn w:val="a4"/>
    <w:uiPriority w:val="99"/>
    <w:semiHidden/>
    <w:unhideWhenUsed/>
    <w:rsid w:val="00EA5ED5"/>
    <w:rPr>
      <w:rFonts w:ascii="Linux Biolinum O" w:hAnsi="Linux Biolinum O" w:cs="Linux Biolinum O"/>
      <w:u w:val="dotted"/>
    </w:rPr>
  </w:style>
  <w:style w:type="character" w:styleId="afffc">
    <w:name w:val="Strong"/>
    <w:basedOn w:val="a4"/>
    <w:uiPriority w:val="22"/>
    <w:qFormat/>
    <w:rsid w:val="00EA5ED5"/>
    <w:rPr>
      <w:rFonts w:ascii="Linux Biolinum O" w:hAnsi="Linux Biolinum O" w:cs="Linux Biolinum O"/>
      <w:b/>
      <w:bCs/>
    </w:rPr>
  </w:style>
  <w:style w:type="character" w:styleId="afffd">
    <w:name w:val="Subtle Emphasis"/>
    <w:basedOn w:val="a4"/>
    <w:uiPriority w:val="19"/>
    <w:qFormat/>
    <w:rsid w:val="00EA5ED5"/>
    <w:rPr>
      <w:rFonts w:ascii="Linux Biolinum O" w:hAnsi="Linux Biolinum O" w:cs="Linux Biolinum O"/>
      <w:i/>
      <w:iCs/>
      <w:color w:val="404040" w:themeColor="text1" w:themeTint="BF"/>
    </w:rPr>
  </w:style>
  <w:style w:type="character" w:styleId="afffe">
    <w:name w:val="Subtle Reference"/>
    <w:basedOn w:val="a4"/>
    <w:uiPriority w:val="31"/>
    <w:qFormat/>
    <w:rsid w:val="00EA5ED5"/>
    <w:rPr>
      <w:rFonts w:ascii="Linux Biolinum O" w:hAnsi="Linux Biolinum O" w:cs="Linux Biolinum O"/>
      <w:smallCaps/>
      <w:color w:val="5A5A5A" w:themeColor="text1" w:themeTint="A5"/>
    </w:rPr>
  </w:style>
  <w:style w:type="table" w:styleId="14">
    <w:name w:val="Table 3D effects 1"/>
    <w:basedOn w:val="a5"/>
    <w:uiPriority w:val="99"/>
    <w:semiHidden/>
    <w:unhideWhenUsed/>
    <w:rsid w:val="00EA5ED5"/>
    <w:pPr>
      <w:spacing w:after="20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5"/>
    <w:uiPriority w:val="99"/>
    <w:semiHidden/>
    <w:unhideWhenUsed/>
    <w:rsid w:val="00EA5ED5"/>
    <w:pPr>
      <w:spacing w:after="20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uiPriority w:val="99"/>
    <w:semiHidden/>
    <w:unhideWhenUsed/>
    <w:rsid w:val="00EA5ED5"/>
    <w:pPr>
      <w:spacing w:after="20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5"/>
    <w:uiPriority w:val="99"/>
    <w:semiHidden/>
    <w:unhideWhenUsed/>
    <w:rsid w:val="00EA5ED5"/>
    <w:pPr>
      <w:spacing w:after="20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5"/>
    <w:uiPriority w:val="99"/>
    <w:semiHidden/>
    <w:unhideWhenUsed/>
    <w:rsid w:val="00EA5ED5"/>
    <w:pPr>
      <w:spacing w:after="20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EA5ED5"/>
    <w:pPr>
      <w:spacing w:after="20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5"/>
    <w:uiPriority w:val="99"/>
    <w:semiHidden/>
    <w:unhideWhenUsed/>
    <w:rsid w:val="00EA5ED5"/>
    <w:pPr>
      <w:spacing w:after="20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5"/>
    <w:uiPriority w:val="99"/>
    <w:semiHidden/>
    <w:unhideWhenUsed/>
    <w:rsid w:val="00EA5ED5"/>
    <w:pPr>
      <w:spacing w:after="20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5"/>
    <w:uiPriority w:val="99"/>
    <w:semiHidden/>
    <w:unhideWhenUsed/>
    <w:rsid w:val="00EA5ED5"/>
    <w:pPr>
      <w:spacing w:after="20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5"/>
    <w:uiPriority w:val="99"/>
    <w:semiHidden/>
    <w:unhideWhenUsed/>
    <w:rsid w:val="00EA5ED5"/>
    <w:pPr>
      <w:spacing w:after="20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5"/>
    <w:uiPriority w:val="99"/>
    <w:semiHidden/>
    <w:unhideWhenUsed/>
    <w:rsid w:val="00EA5ED5"/>
    <w:pPr>
      <w:spacing w:after="20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5"/>
    <w:uiPriority w:val="99"/>
    <w:semiHidden/>
    <w:unhideWhenUsed/>
    <w:rsid w:val="00EA5ED5"/>
    <w:pPr>
      <w:spacing w:after="20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
    <w:name w:val="Table Contemporary"/>
    <w:basedOn w:val="a5"/>
    <w:uiPriority w:val="99"/>
    <w:semiHidden/>
    <w:unhideWhenUsed/>
    <w:rsid w:val="00EA5ED5"/>
    <w:pPr>
      <w:spacing w:after="20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0">
    <w:name w:val="Table Elegant"/>
    <w:basedOn w:val="a5"/>
    <w:uiPriority w:val="99"/>
    <w:semiHidden/>
    <w:unhideWhenUsed/>
    <w:rsid w:val="00EA5ED5"/>
    <w:pPr>
      <w:spacing w:after="20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1">
    <w:name w:val="Table Grid"/>
    <w:basedOn w:val="a5"/>
    <w:rsid w:val="00EA5E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8">
    <w:name w:val="Table Grid 1"/>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5"/>
    <w:uiPriority w:val="99"/>
    <w:semiHidden/>
    <w:unhideWhenUsed/>
    <w:rsid w:val="00EA5ED5"/>
    <w:pPr>
      <w:spacing w:after="20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uiPriority w:val="99"/>
    <w:semiHidden/>
    <w:unhideWhenUsed/>
    <w:rsid w:val="00EA5ED5"/>
    <w:pPr>
      <w:spacing w:after="20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5"/>
    <w:uiPriority w:val="99"/>
    <w:semiHidden/>
    <w:unhideWhenUsed/>
    <w:rsid w:val="00EA5ED5"/>
    <w:pPr>
      <w:spacing w:after="20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5"/>
    <w:uiPriority w:val="99"/>
    <w:semiHidden/>
    <w:unhideWhenUsed/>
    <w:rsid w:val="00EA5ED5"/>
    <w:pPr>
      <w:spacing w:after="20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5"/>
    <w:uiPriority w:val="99"/>
    <w:semiHidden/>
    <w:unhideWhenUsed/>
    <w:rsid w:val="00EA5ED5"/>
    <w:pPr>
      <w:spacing w:after="20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a5"/>
    <w:uiPriority w:val="99"/>
    <w:rsid w:val="00EA5ED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9">
    <w:name w:val="Table List 1"/>
    <w:basedOn w:val="a5"/>
    <w:uiPriority w:val="99"/>
    <w:semiHidden/>
    <w:unhideWhenUsed/>
    <w:rsid w:val="00EA5ED5"/>
    <w:pPr>
      <w:spacing w:after="20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5"/>
    <w:uiPriority w:val="99"/>
    <w:semiHidden/>
    <w:unhideWhenUsed/>
    <w:rsid w:val="00EA5ED5"/>
    <w:pPr>
      <w:spacing w:after="20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5"/>
    <w:uiPriority w:val="99"/>
    <w:semiHidden/>
    <w:unhideWhenUsed/>
    <w:rsid w:val="00EA5ED5"/>
    <w:pPr>
      <w:spacing w:after="20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5"/>
    <w:uiPriority w:val="99"/>
    <w:semiHidden/>
    <w:unhideWhenUsed/>
    <w:rsid w:val="00EA5ED5"/>
    <w:pPr>
      <w:spacing w:after="20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2">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3">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4">
    <w:name w:val="Table Professional"/>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5"/>
    <w:uiPriority w:val="99"/>
    <w:semiHidden/>
    <w:unhideWhenUsed/>
    <w:rsid w:val="00EA5ED5"/>
    <w:pPr>
      <w:spacing w:after="20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5"/>
    <w:uiPriority w:val="99"/>
    <w:semiHidden/>
    <w:unhideWhenUsed/>
    <w:rsid w:val="00EA5ED5"/>
    <w:pPr>
      <w:spacing w:after="20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5"/>
    <w:uiPriority w:val="99"/>
    <w:rsid w:val="00EA5ED5"/>
    <w:pPr>
      <w:spacing w:after="20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Theme"/>
    <w:basedOn w:val="a5"/>
    <w:uiPriority w:val="99"/>
    <w:semiHidden/>
    <w:unhideWhenUsed/>
    <w:rsid w:val="00EA5ED5"/>
    <w:pPr>
      <w:spacing w:after="20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c">
    <w:name w:val="Table Web 1"/>
    <w:basedOn w:val="a5"/>
    <w:uiPriority w:val="99"/>
    <w:semiHidden/>
    <w:unhideWhenUsed/>
    <w:rsid w:val="00EA5ED5"/>
    <w:pPr>
      <w:spacing w:after="20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5"/>
    <w:uiPriority w:val="99"/>
    <w:semiHidden/>
    <w:unhideWhenUsed/>
    <w:rsid w:val="00EA5ED5"/>
    <w:pPr>
      <w:spacing w:after="20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rsid w:val="00EA5ED5"/>
    <w:pPr>
      <w:spacing w:after="20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6">
    <w:name w:val="Title"/>
    <w:basedOn w:val="a3"/>
    <w:next w:val="a3"/>
    <w:link w:val="Charf6"/>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Charf6">
    <w:name w:val="标题 Char"/>
    <w:basedOn w:val="a4"/>
    <w:link w:val="affff6"/>
    <w:uiPriority w:val="10"/>
    <w:rsid w:val="00EA5ED5"/>
    <w:rPr>
      <w:rFonts w:ascii="Linux Libertine O" w:eastAsiaTheme="majorEastAsia" w:hAnsi="Linux Libertine O" w:cs="Linux Libertine O"/>
      <w:spacing w:val="-10"/>
      <w:kern w:val="28"/>
      <w:sz w:val="56"/>
      <w:szCs w:val="56"/>
      <w:lang w:eastAsia="ja-JP"/>
    </w:rPr>
  </w:style>
  <w:style w:type="paragraph" w:styleId="affff7">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1d">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2f4">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3f0">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49">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58">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63">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73">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83">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91">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UnresolvedMention">
    <w:name w:val="Unresolved Mention"/>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8">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A93B8D"/>
    <w:pPr>
      <w:spacing w:after="120"/>
      <w:jc w:val="center"/>
    </w:pPr>
    <w:rPr>
      <w:rFonts w:ascii="Helvetica" w:eastAsiaTheme="minorEastAsia" w:hAnsi="Helvetica"/>
      <w:b/>
      <w:sz w:val="36"/>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Char"/>
    <w:rsid w:val="00EF2F35"/>
    <w:pPr>
      <w:spacing w:after="200"/>
    </w:pPr>
    <w:rPr>
      <w:rFonts w:ascii="Linux Libertine O" w:eastAsia="Cambria" w:hAnsi="Linux Libertine O" w:cs="Linux Libertine O"/>
      <w:sz w:val="14"/>
      <w:lang w:val="en-US" w:eastAsia="en-US"/>
    </w:rPr>
  </w:style>
  <w:style w:type="character" w:customStyle="1" w:styleId="Char">
    <w:name w:val="脚注文本 Char"/>
    <w:link w:val="a8"/>
    <w:rsid w:val="00EF2F35"/>
    <w:rPr>
      <w:rFonts w:ascii="Linux Libertine O" w:eastAsia="Cambria" w:hAnsi="Linux Libertine O" w:cs="Linux Libertine O"/>
      <w:sz w:val="14"/>
      <w:szCs w:val="24"/>
    </w:rPr>
  </w:style>
  <w:style w:type="paragraph" w:styleId="a9">
    <w:name w:val="Subtitle"/>
    <w:basedOn w:val="a3"/>
    <w:next w:val="a3"/>
    <w:link w:val="Char0"/>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Char0">
    <w:name w:val="副标题 Char"/>
    <w:link w:val="a9"/>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a">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b">
    <w:name w:val="Balloon Text"/>
    <w:basedOn w:val="a3"/>
    <w:link w:val="Char1"/>
    <w:uiPriority w:val="99"/>
    <w:semiHidden/>
    <w:unhideWhenUsed/>
    <w:rsid w:val="00EF2F35"/>
    <w:rPr>
      <w:rFonts w:ascii="Linux Biolinum O" w:eastAsia="MS Mincho" w:hAnsi="Linux Biolinum O" w:cs="Linux Biolinum O"/>
      <w:sz w:val="18"/>
      <w:szCs w:val="18"/>
      <w:lang w:val="en-US" w:eastAsia="ja-JP"/>
    </w:rPr>
  </w:style>
  <w:style w:type="character" w:customStyle="1" w:styleId="Char1">
    <w:name w:val="批注框文本 Char"/>
    <w:basedOn w:val="a4"/>
    <w:link w:val="ab"/>
    <w:uiPriority w:val="99"/>
    <w:semiHidden/>
    <w:rsid w:val="00EF2F35"/>
    <w:rPr>
      <w:rFonts w:ascii="Linux Biolinum O" w:hAnsi="Linux Biolinum O" w:cs="Linux Biolinum O"/>
      <w:sz w:val="18"/>
      <w:szCs w:val="18"/>
      <w:lang w:eastAsia="ja-JP"/>
    </w:rPr>
  </w:style>
  <w:style w:type="paragraph" w:styleId="ac">
    <w:name w:val="footer"/>
    <w:basedOn w:val="a3"/>
    <w:link w:val="Char2"/>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Char2">
    <w:name w:val="页脚 Char"/>
    <w:basedOn w:val="a4"/>
    <w:link w:val="ac"/>
    <w:uiPriority w:val="99"/>
    <w:rsid w:val="00EF2F35"/>
    <w:rPr>
      <w:rFonts w:ascii="Linux Libertine O" w:hAnsi="Linux Libertine O" w:cs="Linux Libertine O"/>
      <w:sz w:val="18"/>
      <w:szCs w:val="24"/>
      <w:lang w:eastAsia="ja-JP"/>
    </w:rPr>
  </w:style>
  <w:style w:type="character" w:styleId="ad">
    <w:name w:val="page number"/>
    <w:basedOn w:val="a4"/>
    <w:uiPriority w:val="99"/>
    <w:semiHidden/>
    <w:unhideWhenUsed/>
    <w:rsid w:val="00EF2F35"/>
    <w:rPr>
      <w:rFonts w:ascii="Linux Libertine O" w:hAnsi="Linux Libertine O" w:cs="Linux Libertine O"/>
    </w:rPr>
  </w:style>
  <w:style w:type="character" w:customStyle="1" w:styleId="1Char">
    <w:name w:val="标题 1 Char"/>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Char">
    <w:name w:val="标题 2 Char"/>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Char">
    <w:name w:val="标题 3 Char"/>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Char">
    <w:name w:val="标题 4 Char"/>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Char">
    <w:name w:val="标题 5 Char"/>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Char">
    <w:name w:val="标题 6 Char"/>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Char">
    <w:name w:val="标题 7 Char"/>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Char">
    <w:name w:val="标题 8 Char"/>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Char">
    <w:name w:val="标题 9 Char"/>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e">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0">
    <w:name w:val="Body Text"/>
    <w:basedOn w:val="a3"/>
    <w:link w:val="Char3"/>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Char3">
    <w:name w:val="正文文本 Char"/>
    <w:basedOn w:val="a4"/>
    <w:link w:val="af0"/>
    <w:uiPriority w:val="99"/>
    <w:semiHidden/>
    <w:rsid w:val="00EA5ED5"/>
    <w:rPr>
      <w:rFonts w:ascii="Linux Libertine O" w:hAnsi="Linux Libertine O" w:cs="Linux Libertine O"/>
      <w:sz w:val="18"/>
      <w:szCs w:val="24"/>
      <w:lang w:eastAsia="ja-JP"/>
    </w:rPr>
  </w:style>
  <w:style w:type="paragraph" w:styleId="22">
    <w:name w:val="Body Text 2"/>
    <w:basedOn w:val="a3"/>
    <w:link w:val="2Char0"/>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Char0">
    <w:name w:val="正文文本 2 Char"/>
    <w:basedOn w:val="a4"/>
    <w:link w:val="22"/>
    <w:uiPriority w:val="99"/>
    <w:semiHidden/>
    <w:rsid w:val="00EA5ED5"/>
    <w:rPr>
      <w:rFonts w:ascii="Linux Libertine O" w:hAnsi="Linux Libertine O" w:cs="Linux Libertine O"/>
      <w:sz w:val="18"/>
      <w:szCs w:val="24"/>
      <w:lang w:eastAsia="ja-JP"/>
    </w:rPr>
  </w:style>
  <w:style w:type="paragraph" w:styleId="32">
    <w:name w:val="Body Text 3"/>
    <w:basedOn w:val="a3"/>
    <w:link w:val="3Char0"/>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Char0">
    <w:name w:val="正文文本 3 Char"/>
    <w:basedOn w:val="a4"/>
    <w:link w:val="32"/>
    <w:uiPriority w:val="99"/>
    <w:semiHidden/>
    <w:rsid w:val="00EA5ED5"/>
    <w:rPr>
      <w:rFonts w:ascii="Linux Libertine O" w:hAnsi="Linux Libertine O" w:cs="Linux Libertine O"/>
      <w:sz w:val="16"/>
      <w:szCs w:val="16"/>
      <w:lang w:eastAsia="ja-JP"/>
    </w:rPr>
  </w:style>
  <w:style w:type="paragraph" w:styleId="af1">
    <w:name w:val="Body Text First Indent"/>
    <w:basedOn w:val="af0"/>
    <w:link w:val="Char4"/>
    <w:uiPriority w:val="99"/>
    <w:semiHidden/>
    <w:unhideWhenUsed/>
    <w:rsid w:val="00EA5ED5"/>
    <w:pPr>
      <w:spacing w:after="200"/>
      <w:ind w:firstLine="360"/>
    </w:pPr>
  </w:style>
  <w:style w:type="character" w:customStyle="1" w:styleId="Char4">
    <w:name w:val="正文首行缩进 Char"/>
    <w:basedOn w:val="Char3"/>
    <w:link w:val="af1"/>
    <w:uiPriority w:val="99"/>
    <w:semiHidden/>
    <w:rsid w:val="00EA5ED5"/>
    <w:rPr>
      <w:rFonts w:ascii="Linux Libertine O" w:hAnsi="Linux Libertine O" w:cs="Linux Libertine O"/>
      <w:sz w:val="18"/>
      <w:szCs w:val="24"/>
      <w:lang w:eastAsia="ja-JP"/>
    </w:rPr>
  </w:style>
  <w:style w:type="paragraph" w:styleId="af2">
    <w:name w:val="Body Text Indent"/>
    <w:basedOn w:val="a3"/>
    <w:link w:val="Char5"/>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Char5">
    <w:name w:val="正文文本缩进 Char"/>
    <w:basedOn w:val="a4"/>
    <w:link w:val="af2"/>
    <w:uiPriority w:val="99"/>
    <w:semiHidden/>
    <w:rsid w:val="00EA5ED5"/>
    <w:rPr>
      <w:rFonts w:ascii="Linux Libertine O" w:hAnsi="Linux Libertine O" w:cs="Linux Libertine O"/>
      <w:sz w:val="18"/>
      <w:szCs w:val="24"/>
      <w:lang w:eastAsia="ja-JP"/>
    </w:rPr>
  </w:style>
  <w:style w:type="paragraph" w:styleId="23">
    <w:name w:val="Body Text First Indent 2"/>
    <w:basedOn w:val="af2"/>
    <w:link w:val="2Char1"/>
    <w:uiPriority w:val="99"/>
    <w:semiHidden/>
    <w:unhideWhenUsed/>
    <w:rsid w:val="00EA5ED5"/>
    <w:pPr>
      <w:spacing w:after="200"/>
      <w:ind w:firstLine="360"/>
    </w:pPr>
  </w:style>
  <w:style w:type="character" w:customStyle="1" w:styleId="2Char1">
    <w:name w:val="正文首行缩进 2 Char"/>
    <w:basedOn w:val="Char5"/>
    <w:link w:val="23"/>
    <w:uiPriority w:val="99"/>
    <w:semiHidden/>
    <w:rsid w:val="00EA5ED5"/>
    <w:rPr>
      <w:rFonts w:ascii="Linux Libertine O" w:hAnsi="Linux Libertine O" w:cs="Linux Libertine O"/>
      <w:sz w:val="18"/>
      <w:szCs w:val="24"/>
      <w:lang w:eastAsia="ja-JP"/>
    </w:rPr>
  </w:style>
  <w:style w:type="paragraph" w:styleId="24">
    <w:name w:val="Body Text Indent 2"/>
    <w:basedOn w:val="a3"/>
    <w:link w:val="2Char2"/>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Char2">
    <w:name w:val="正文文本缩进 2 Char"/>
    <w:basedOn w:val="a4"/>
    <w:link w:val="24"/>
    <w:uiPriority w:val="99"/>
    <w:semiHidden/>
    <w:rsid w:val="00EA5ED5"/>
    <w:rPr>
      <w:rFonts w:ascii="Linux Libertine O" w:hAnsi="Linux Libertine O" w:cs="Linux Libertine O"/>
      <w:sz w:val="18"/>
      <w:szCs w:val="24"/>
      <w:lang w:eastAsia="ja-JP"/>
    </w:rPr>
  </w:style>
  <w:style w:type="paragraph" w:styleId="33">
    <w:name w:val="Body Text Indent 3"/>
    <w:basedOn w:val="a3"/>
    <w:link w:val="3Char1"/>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Char1">
    <w:name w:val="正文文本缩进 3 Char"/>
    <w:basedOn w:val="a4"/>
    <w:link w:val="33"/>
    <w:uiPriority w:val="99"/>
    <w:semiHidden/>
    <w:rsid w:val="00EA5ED5"/>
    <w:rPr>
      <w:rFonts w:ascii="Linux Libertine O" w:hAnsi="Linux Libertine O" w:cs="Linux Libertine O"/>
      <w:sz w:val="16"/>
      <w:szCs w:val="16"/>
      <w:lang w:eastAsia="ja-JP"/>
    </w:rPr>
  </w:style>
  <w:style w:type="character" w:styleId="af3">
    <w:name w:val="Book Title"/>
    <w:basedOn w:val="a4"/>
    <w:uiPriority w:val="33"/>
    <w:qFormat/>
    <w:rsid w:val="00EA5ED5"/>
    <w:rPr>
      <w:rFonts w:ascii="Linux Biolinum O" w:hAnsi="Linux Biolinum O" w:cs="Linux Biolinum O"/>
      <w:b/>
      <w:bCs/>
      <w:i/>
      <w:iCs/>
      <w:spacing w:val="5"/>
    </w:rPr>
  </w:style>
  <w:style w:type="paragraph" w:styleId="af4">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5">
    <w:name w:val="Closing"/>
    <w:basedOn w:val="a3"/>
    <w:link w:val="Char6"/>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6">
    <w:name w:val="结束语 Char"/>
    <w:basedOn w:val="a4"/>
    <w:link w:val="af5"/>
    <w:uiPriority w:val="99"/>
    <w:semiHidden/>
    <w:rsid w:val="00EA5ED5"/>
    <w:rPr>
      <w:rFonts w:ascii="Linux Libertine O" w:hAnsi="Linux Libertine O" w:cs="Linux Libertine O"/>
      <w:sz w:val="18"/>
      <w:szCs w:val="24"/>
      <w:lang w:eastAsia="ja-JP"/>
    </w:rPr>
  </w:style>
  <w:style w:type="table" w:styleId="af6">
    <w:name w:val="Colorful Grid"/>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7">
    <w:name w:val="Colorful List"/>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Shading"/>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9">
    <w:name w:val="annotation reference"/>
    <w:basedOn w:val="a4"/>
    <w:uiPriority w:val="99"/>
    <w:semiHidden/>
    <w:unhideWhenUsed/>
    <w:rsid w:val="00EA5ED5"/>
    <w:rPr>
      <w:rFonts w:ascii="Linux Biolinum O" w:hAnsi="Linux Biolinum O" w:cs="Linux Biolinum O"/>
      <w:sz w:val="16"/>
      <w:szCs w:val="16"/>
    </w:rPr>
  </w:style>
  <w:style w:type="paragraph" w:styleId="afa">
    <w:name w:val="annotation text"/>
    <w:basedOn w:val="a3"/>
    <w:link w:val="Char7"/>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har7">
    <w:name w:val="批注文字 Char"/>
    <w:basedOn w:val="a4"/>
    <w:link w:val="afa"/>
    <w:uiPriority w:val="99"/>
    <w:semiHidden/>
    <w:rsid w:val="00EA5ED5"/>
    <w:rPr>
      <w:rFonts w:ascii="Linux Libertine O" w:hAnsi="Linux Libertine O" w:cs="Linux Libertine O"/>
      <w:lang w:eastAsia="ja-JP"/>
    </w:rPr>
  </w:style>
  <w:style w:type="paragraph" w:styleId="afb">
    <w:name w:val="annotation subject"/>
    <w:basedOn w:val="afa"/>
    <w:next w:val="afa"/>
    <w:link w:val="Char8"/>
    <w:uiPriority w:val="99"/>
    <w:semiHidden/>
    <w:unhideWhenUsed/>
    <w:rsid w:val="00EA5ED5"/>
    <w:rPr>
      <w:b/>
      <w:bCs/>
    </w:rPr>
  </w:style>
  <w:style w:type="character" w:customStyle="1" w:styleId="Char8">
    <w:name w:val="批注主题 Char"/>
    <w:basedOn w:val="Char7"/>
    <w:link w:val="afb"/>
    <w:uiPriority w:val="99"/>
    <w:semiHidden/>
    <w:rsid w:val="00EA5ED5"/>
    <w:rPr>
      <w:rFonts w:ascii="Linux Libertine O" w:hAnsi="Linux Libertine O" w:cs="Linux Libertine O"/>
      <w:b/>
      <w:bCs/>
      <w:lang w:eastAsia="ja-JP"/>
    </w:rPr>
  </w:style>
  <w:style w:type="table" w:styleId="afc">
    <w:name w:val="Dark List"/>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d">
    <w:name w:val="Date"/>
    <w:basedOn w:val="a3"/>
    <w:next w:val="a3"/>
    <w:link w:val="Char9"/>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9">
    <w:name w:val="日期 Char"/>
    <w:basedOn w:val="a4"/>
    <w:link w:val="afd"/>
    <w:uiPriority w:val="99"/>
    <w:semiHidden/>
    <w:rsid w:val="00EA5ED5"/>
    <w:rPr>
      <w:rFonts w:ascii="Linux Libertine O" w:hAnsi="Linux Libertine O" w:cs="Linux Libertine O"/>
      <w:sz w:val="18"/>
      <w:szCs w:val="24"/>
      <w:lang w:eastAsia="ja-JP"/>
    </w:rPr>
  </w:style>
  <w:style w:type="paragraph" w:styleId="afe">
    <w:name w:val="Document Map"/>
    <w:basedOn w:val="a3"/>
    <w:link w:val="Chara"/>
    <w:uiPriority w:val="99"/>
    <w:semiHidden/>
    <w:unhideWhenUsed/>
    <w:rsid w:val="00EA5ED5"/>
    <w:rPr>
      <w:rFonts w:ascii="Linux Biolinum O" w:eastAsia="MS Mincho" w:hAnsi="Linux Biolinum O" w:cs="Linux Biolinum O"/>
      <w:sz w:val="16"/>
      <w:szCs w:val="16"/>
      <w:lang w:val="en-US" w:eastAsia="ja-JP"/>
    </w:rPr>
  </w:style>
  <w:style w:type="character" w:customStyle="1" w:styleId="Chara">
    <w:name w:val="文档结构图 Char"/>
    <w:basedOn w:val="a4"/>
    <w:link w:val="afe"/>
    <w:uiPriority w:val="99"/>
    <w:semiHidden/>
    <w:rsid w:val="00EA5ED5"/>
    <w:rPr>
      <w:rFonts w:ascii="Linux Biolinum O" w:hAnsi="Linux Biolinum O" w:cs="Linux Biolinum O"/>
      <w:sz w:val="16"/>
      <w:szCs w:val="16"/>
      <w:lang w:eastAsia="ja-JP"/>
    </w:rPr>
  </w:style>
  <w:style w:type="paragraph" w:styleId="aff">
    <w:name w:val="E-mail Signature"/>
    <w:basedOn w:val="a3"/>
    <w:link w:val="Charb"/>
    <w:uiPriority w:val="99"/>
    <w:semiHidden/>
    <w:unhideWhenUsed/>
    <w:rsid w:val="00EA5ED5"/>
    <w:rPr>
      <w:rFonts w:ascii="Linux Libertine O" w:eastAsia="MS Mincho" w:hAnsi="Linux Libertine O" w:cs="Linux Libertine O"/>
      <w:sz w:val="18"/>
      <w:lang w:val="en-US" w:eastAsia="ja-JP"/>
    </w:rPr>
  </w:style>
  <w:style w:type="character" w:customStyle="1" w:styleId="Charb">
    <w:name w:val="电子邮件签名 Char"/>
    <w:basedOn w:val="a4"/>
    <w:link w:val="aff"/>
    <w:uiPriority w:val="99"/>
    <w:semiHidden/>
    <w:rsid w:val="00EA5ED5"/>
    <w:rPr>
      <w:rFonts w:ascii="Linux Libertine O" w:hAnsi="Linux Libertine O" w:cs="Linux Libertine O"/>
      <w:sz w:val="18"/>
      <w:szCs w:val="24"/>
      <w:lang w:eastAsia="ja-JP"/>
    </w:rPr>
  </w:style>
  <w:style w:type="character" w:styleId="aff0">
    <w:name w:val="Emphasis"/>
    <w:basedOn w:val="a4"/>
    <w:uiPriority w:val="20"/>
    <w:qFormat/>
    <w:rsid w:val="00EA5ED5"/>
    <w:rPr>
      <w:rFonts w:ascii="Linux Biolinum O" w:hAnsi="Linux Biolinum O" w:cs="Linux Biolinum O"/>
      <w:i/>
      <w:iCs/>
    </w:rPr>
  </w:style>
  <w:style w:type="character" w:styleId="aff1">
    <w:name w:val="endnote reference"/>
    <w:basedOn w:val="a4"/>
    <w:uiPriority w:val="99"/>
    <w:semiHidden/>
    <w:unhideWhenUsed/>
    <w:rsid w:val="00EA5ED5"/>
    <w:rPr>
      <w:rFonts w:ascii="Linux Biolinum O" w:hAnsi="Linux Biolinum O" w:cs="Linux Biolinum O"/>
      <w:vertAlign w:val="superscript"/>
    </w:rPr>
  </w:style>
  <w:style w:type="paragraph" w:styleId="aff2">
    <w:name w:val="endnote text"/>
    <w:basedOn w:val="a3"/>
    <w:link w:val="Charc"/>
    <w:uiPriority w:val="99"/>
    <w:semiHidden/>
    <w:unhideWhenUsed/>
    <w:rsid w:val="00EA5ED5"/>
    <w:rPr>
      <w:rFonts w:ascii="Linux Libertine O" w:eastAsia="MS Mincho" w:hAnsi="Linux Libertine O" w:cs="Linux Libertine O"/>
      <w:sz w:val="20"/>
      <w:szCs w:val="20"/>
      <w:lang w:val="en-US" w:eastAsia="ja-JP"/>
    </w:rPr>
  </w:style>
  <w:style w:type="character" w:customStyle="1" w:styleId="Charc">
    <w:name w:val="尾注文本 Char"/>
    <w:basedOn w:val="a4"/>
    <w:link w:val="aff2"/>
    <w:uiPriority w:val="99"/>
    <w:semiHidden/>
    <w:rsid w:val="00EA5ED5"/>
    <w:rPr>
      <w:rFonts w:ascii="Linux Libertine O" w:hAnsi="Linux Libertine O" w:cs="Linux Libertine O"/>
      <w:lang w:eastAsia="ja-JP"/>
    </w:rPr>
  </w:style>
  <w:style w:type="paragraph" w:styleId="aff3">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4">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5">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GridTable1Light">
    <w:name w:val="Grid Table 1 Light"/>
    <w:basedOn w:val="a5"/>
    <w:uiPriority w:val="99"/>
    <w:rsid w:val="00EA5E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a5"/>
    <w:uiPriority w:val="46"/>
    <w:rsid w:val="00EA5ED5"/>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a5"/>
    <w:uiPriority w:val="46"/>
    <w:rsid w:val="00EA5ED5"/>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5"/>
    <w:uiPriority w:val="46"/>
    <w:rsid w:val="00EA5ED5"/>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5"/>
    <w:uiPriority w:val="46"/>
    <w:rsid w:val="00EA5ED5"/>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a5"/>
    <w:uiPriority w:val="46"/>
    <w:rsid w:val="00EA5ED5"/>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a5"/>
    <w:uiPriority w:val="46"/>
    <w:rsid w:val="00EA5ED5"/>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
    <w:name w:val="Grid Table 2"/>
    <w:basedOn w:val="a5"/>
    <w:uiPriority w:val="99"/>
    <w:rsid w:val="00EA5ED5"/>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a5"/>
    <w:uiPriority w:val="47"/>
    <w:rsid w:val="00EA5ED5"/>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
    <w:name w:val="Grid Table 2 Accent 2"/>
    <w:basedOn w:val="a5"/>
    <w:uiPriority w:val="47"/>
    <w:rsid w:val="00EA5ED5"/>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
    <w:name w:val="Grid Table 2 Accent 3"/>
    <w:basedOn w:val="a5"/>
    <w:uiPriority w:val="47"/>
    <w:rsid w:val="00EA5ED5"/>
    <w:tblPr>
      <w:tblStyleRowBandSize w:val="1"/>
      <w:tblStyleColBandSize w:val="1"/>
      <w:tblInd w:w="0" w:type="dxa"/>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CellMar>
        <w:top w:w="0" w:type="dxa"/>
        <w:left w:w="108" w:type="dxa"/>
        <w:bottom w:w="0" w:type="dxa"/>
        <w:right w:w="108" w:type="dxa"/>
      </w:tblCellMar>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
    <w:name w:val="Grid Table 2 Accent 4"/>
    <w:basedOn w:val="a5"/>
    <w:uiPriority w:val="47"/>
    <w:rsid w:val="00EA5ED5"/>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
    <w:name w:val="Grid Table 2 Accent 5"/>
    <w:basedOn w:val="a5"/>
    <w:uiPriority w:val="47"/>
    <w:rsid w:val="00EA5ED5"/>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
    <w:name w:val="Grid Table 2 Accent 6"/>
    <w:basedOn w:val="a5"/>
    <w:uiPriority w:val="47"/>
    <w:rsid w:val="00EA5ED5"/>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
    <w:name w:val="Grid Table 3"/>
    <w:basedOn w:val="a5"/>
    <w:uiPriority w:val="9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a5"/>
    <w:uiPriority w:val="48"/>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
    <w:name w:val="Grid Table 3 Accent 2"/>
    <w:basedOn w:val="a5"/>
    <w:uiPriority w:val="48"/>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
    <w:name w:val="Grid Table 3 Accent 3"/>
    <w:basedOn w:val="a5"/>
    <w:uiPriority w:val="48"/>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
    <w:name w:val="Grid Table 3 Accent 4"/>
    <w:basedOn w:val="a5"/>
    <w:uiPriority w:val="48"/>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
    <w:name w:val="Grid Table 3 Accent 5"/>
    <w:basedOn w:val="a5"/>
    <w:uiPriority w:val="48"/>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
    <w:name w:val="Grid Table 3 Accent 6"/>
    <w:basedOn w:val="a5"/>
    <w:uiPriority w:val="48"/>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
    <w:name w:val="Grid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
    <w:name w:val="Grid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
    <w:name w:val="Grid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
    <w:name w:val="Grid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
    <w:name w:val="Grid Table 5 Dark"/>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
    <w:name w:val="Grid Table 5 Dark Accent 2"/>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
    <w:name w:val="Grid Table 5 Dark Accent 3"/>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
    <w:name w:val="Grid Table 5 Dark Accent 4"/>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
    <w:name w:val="Grid Table 5 Dark Accent 5"/>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
    <w:name w:val="Grid Table 5 Dark Accent 6"/>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
    <w:name w:val="Grid Table 6 Colorful"/>
    <w:basedOn w:val="a5"/>
    <w:uiPriority w:val="51"/>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a5"/>
    <w:uiPriority w:val="51"/>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
    <w:name w:val="Grid Table 6 Colorful Accent 2"/>
    <w:basedOn w:val="a5"/>
    <w:uiPriority w:val="51"/>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
    <w:name w:val="Grid Table 6 Colorful Accent 3"/>
    <w:basedOn w:val="a5"/>
    <w:uiPriority w:val="51"/>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
    <w:name w:val="Grid Table 6 Colorful Accent 4"/>
    <w:basedOn w:val="a5"/>
    <w:uiPriority w:val="51"/>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
    <w:name w:val="Grid Table 6 Colorful Accent 5"/>
    <w:basedOn w:val="a5"/>
    <w:uiPriority w:val="51"/>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
    <w:name w:val="Grid Table 6 Colorful Accent 6"/>
    <w:basedOn w:val="a5"/>
    <w:uiPriority w:val="51"/>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
    <w:name w:val="Grid Table 7 Colorful"/>
    <w:basedOn w:val="a5"/>
    <w:uiPriority w:val="52"/>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a5"/>
    <w:uiPriority w:val="52"/>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
    <w:name w:val="Grid Table 7 Colorful Accent 2"/>
    <w:basedOn w:val="a5"/>
    <w:uiPriority w:val="52"/>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
    <w:name w:val="Grid Table 7 Colorful Accent 3"/>
    <w:basedOn w:val="a5"/>
    <w:uiPriority w:val="52"/>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
    <w:name w:val="Grid Table 7 Colorful Accent 4"/>
    <w:basedOn w:val="a5"/>
    <w:uiPriority w:val="52"/>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
    <w:name w:val="Grid Table 7 Colorful Accent 5"/>
    <w:basedOn w:val="a5"/>
    <w:uiPriority w:val="52"/>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
    <w:name w:val="Grid Table 7 Colorful Accent 6"/>
    <w:basedOn w:val="a5"/>
    <w:uiPriority w:val="52"/>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a4"/>
    <w:uiPriority w:val="99"/>
    <w:semiHidden/>
    <w:unhideWhenUsed/>
    <w:rsid w:val="00EA5ED5"/>
    <w:rPr>
      <w:rFonts w:ascii="Linux Biolinum O" w:hAnsi="Linux Biolinum O" w:cs="Linux Biolinum O"/>
      <w:color w:val="2B579A"/>
      <w:shd w:val="clear" w:color="auto" w:fill="E1DFDD"/>
    </w:rPr>
  </w:style>
  <w:style w:type="paragraph" w:styleId="aff6">
    <w:name w:val="header"/>
    <w:basedOn w:val="a3"/>
    <w:link w:val="Chard"/>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Chard">
    <w:name w:val="页眉 Char"/>
    <w:basedOn w:val="a4"/>
    <w:link w:val="aff6"/>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Char">
    <w:name w:val="HTML 地址 Char"/>
    <w:basedOn w:val="a4"/>
    <w:link w:val="HTML0"/>
    <w:uiPriority w:val="99"/>
    <w:semiHidden/>
    <w:rsid w:val="00EA5ED5"/>
    <w:rPr>
      <w:rFonts w:ascii="Linux Libertine O" w:hAnsi="Linux Libertine O" w:cs="Linux Libertine O"/>
      <w:i/>
      <w:iCs/>
      <w:sz w:val="18"/>
      <w:szCs w:val="24"/>
      <w:lang w:eastAsia="ja-JP"/>
    </w:rPr>
  </w:style>
  <w:style w:type="character" w:styleId="HTML1">
    <w:name w:val="HTML Cite"/>
    <w:basedOn w:val="a4"/>
    <w:uiPriority w:val="99"/>
    <w:semiHidden/>
    <w:unhideWhenUsed/>
    <w:rsid w:val="00EA5ED5"/>
    <w:rPr>
      <w:rFonts w:ascii="Linux Biolinum O" w:hAnsi="Linux Biolinum O" w:cs="Linux Biolinum O"/>
      <w:i/>
      <w:iCs/>
    </w:rPr>
  </w:style>
  <w:style w:type="character" w:styleId="HTML2">
    <w:name w:val="HTML Code"/>
    <w:basedOn w:val="a4"/>
    <w:uiPriority w:val="99"/>
    <w:semiHidden/>
    <w:unhideWhenUsed/>
    <w:rsid w:val="00EA5ED5"/>
    <w:rPr>
      <w:rFonts w:ascii="Linux Biolinum O" w:hAnsi="Linux Biolinum O" w:cs="Linux Biolinum O"/>
      <w:sz w:val="20"/>
      <w:szCs w:val="20"/>
    </w:rPr>
  </w:style>
  <w:style w:type="character" w:styleId="HTML3">
    <w:name w:val="HTML Definition"/>
    <w:basedOn w:val="a4"/>
    <w:uiPriority w:val="99"/>
    <w:semiHidden/>
    <w:unhideWhenUsed/>
    <w:rsid w:val="00EA5ED5"/>
    <w:rPr>
      <w:rFonts w:ascii="Linux Biolinum O" w:hAnsi="Linux Biolinum O" w:cs="Linux Biolinum O"/>
      <w:i/>
      <w:iCs/>
    </w:rPr>
  </w:style>
  <w:style w:type="character" w:styleId="HTML4">
    <w:name w:val="HTML Keyboard"/>
    <w:basedOn w:val="a4"/>
    <w:uiPriority w:val="99"/>
    <w:semiHidden/>
    <w:unhideWhenUsed/>
    <w:rsid w:val="00EA5ED5"/>
    <w:rPr>
      <w:rFonts w:ascii="Linux Biolinum O" w:hAnsi="Linux Biolinum O" w:cs="Linux Biolinum O"/>
      <w:sz w:val="20"/>
      <w:szCs w:val="20"/>
    </w:rPr>
  </w:style>
  <w:style w:type="paragraph" w:styleId="HTML5">
    <w:name w:val="HTML Preformatted"/>
    <w:basedOn w:val="a3"/>
    <w:link w:val="HTMLChar0"/>
    <w:uiPriority w:val="99"/>
    <w:semiHidden/>
    <w:unhideWhenUsed/>
    <w:rsid w:val="00EA5ED5"/>
    <w:rPr>
      <w:rFonts w:ascii="Linux Biolinum O" w:eastAsia="MS Mincho" w:hAnsi="Linux Biolinum O" w:cs="Linux Biolinum O"/>
      <w:sz w:val="20"/>
      <w:szCs w:val="20"/>
      <w:lang w:val="en-US" w:eastAsia="ja-JP"/>
    </w:rPr>
  </w:style>
  <w:style w:type="character" w:customStyle="1" w:styleId="HTMLChar0">
    <w:name w:val="HTML 预设格式 Char"/>
    <w:basedOn w:val="a4"/>
    <w:link w:val="HTML5"/>
    <w:uiPriority w:val="99"/>
    <w:semiHidden/>
    <w:rsid w:val="00EA5ED5"/>
    <w:rPr>
      <w:rFonts w:ascii="Linux Biolinum O" w:hAnsi="Linux Biolinum O" w:cs="Linux Biolinum O"/>
      <w:lang w:eastAsia="ja-JP"/>
    </w:rPr>
  </w:style>
  <w:style w:type="character" w:styleId="HTML6">
    <w:name w:val="HTML Sample"/>
    <w:basedOn w:val="a4"/>
    <w:uiPriority w:val="99"/>
    <w:semiHidden/>
    <w:unhideWhenUsed/>
    <w:rsid w:val="00EA5ED5"/>
    <w:rPr>
      <w:rFonts w:ascii="Linux Biolinum O" w:hAnsi="Linux Biolinum O" w:cs="Linux Biolinum O"/>
      <w:sz w:val="24"/>
      <w:szCs w:val="24"/>
    </w:rPr>
  </w:style>
  <w:style w:type="character" w:styleId="HTML7">
    <w:name w:val="HTML Typewriter"/>
    <w:basedOn w:val="a4"/>
    <w:uiPriority w:val="99"/>
    <w:semiHidden/>
    <w:unhideWhenUsed/>
    <w:rsid w:val="00EA5ED5"/>
    <w:rPr>
      <w:rFonts w:ascii="Linux Biolinum O" w:hAnsi="Linux Biolinum O" w:cs="Linux Biolinum O"/>
      <w:sz w:val="20"/>
      <w:szCs w:val="20"/>
    </w:rPr>
  </w:style>
  <w:style w:type="character" w:styleId="HTML8">
    <w:name w:val="HTML Variable"/>
    <w:basedOn w:val="a4"/>
    <w:uiPriority w:val="99"/>
    <w:semiHidden/>
    <w:unhideWhenUsed/>
    <w:rsid w:val="00EA5ED5"/>
    <w:rPr>
      <w:rFonts w:ascii="Linux Biolinum O" w:hAnsi="Linux Biolinum O" w:cs="Linux Biolinum O"/>
      <w:i/>
      <w:iCs/>
    </w:rPr>
  </w:style>
  <w:style w:type="paragraph" w:styleId="10">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5">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4">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2">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2">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0">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0">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0">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0">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7">
    <w:name w:val="index heading"/>
    <w:basedOn w:val="a3"/>
    <w:next w:val="10"/>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8">
    <w:name w:val="Intense Emphasis"/>
    <w:basedOn w:val="a4"/>
    <w:uiPriority w:val="21"/>
    <w:qFormat/>
    <w:rsid w:val="00EA5ED5"/>
    <w:rPr>
      <w:rFonts w:ascii="Linux Biolinum O" w:hAnsi="Linux Biolinum O" w:cs="Linux Biolinum O"/>
      <w:i/>
      <w:iCs/>
      <w:color w:val="4F81BD" w:themeColor="accent1"/>
    </w:rPr>
  </w:style>
  <w:style w:type="paragraph" w:styleId="aff9">
    <w:name w:val="Intense Quote"/>
    <w:basedOn w:val="a3"/>
    <w:next w:val="a3"/>
    <w:link w:val="Chare"/>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Chare">
    <w:name w:val="明显引用 Char"/>
    <w:basedOn w:val="a4"/>
    <w:link w:val="aff9"/>
    <w:uiPriority w:val="30"/>
    <w:rsid w:val="00EA5ED5"/>
    <w:rPr>
      <w:rFonts w:ascii="Linux Libertine O" w:hAnsi="Linux Libertine O" w:cs="Linux Libertine O"/>
      <w:i/>
      <w:iCs/>
      <w:color w:val="4F81BD" w:themeColor="accent1"/>
      <w:sz w:val="18"/>
      <w:szCs w:val="24"/>
      <w:lang w:eastAsia="ja-JP"/>
    </w:rPr>
  </w:style>
  <w:style w:type="character" w:styleId="a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b">
    <w:name w:val="Light Grid"/>
    <w:basedOn w:val="a5"/>
    <w:uiPriority w:val="62"/>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c">
    <w:name w:val="Light List"/>
    <w:basedOn w:val="a5"/>
    <w:uiPriority w:val="61"/>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Shading"/>
    <w:basedOn w:val="a5"/>
    <w:uiPriority w:val="60"/>
    <w:semiHidden/>
    <w:unhideWhenUsed/>
    <w:rsid w:val="00EA5ED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e">
    <w:name w:val="line number"/>
    <w:basedOn w:val="a4"/>
    <w:uiPriority w:val="99"/>
    <w:semiHidden/>
    <w:unhideWhenUsed/>
    <w:rsid w:val="00EA5ED5"/>
    <w:rPr>
      <w:rFonts w:ascii="Linux Biolinum O" w:hAnsi="Linux Biolinum O" w:cs="Linux Biolinum O"/>
    </w:rPr>
  </w:style>
  <w:style w:type="paragraph" w:styleId="a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6">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5">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3">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3">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7">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6">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4">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4">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ListTable1Light">
    <w:name w:val="List Table 1 Light"/>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
    <w:name w:val="List Table 1 Light Accent 2"/>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
    <w:name w:val="List Table 1 Light Accent 3"/>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
    <w:name w:val="List Table 1 Light Accent 4"/>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
    <w:name w:val="List Table 1 Light Accent 5"/>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
    <w:name w:val="List Table 1 Light Accent 6"/>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
    <w:name w:val="List Table 2"/>
    <w:basedOn w:val="a5"/>
    <w:uiPriority w:val="47"/>
    <w:rsid w:val="00EA5ED5"/>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a5"/>
    <w:uiPriority w:val="47"/>
    <w:rsid w:val="00EA5ED5"/>
    <w:tblPr>
      <w:tblStyleRowBandSize w:val="1"/>
      <w:tblStyleColBandSize w:val="1"/>
      <w:tblInd w:w="0" w:type="dxa"/>
      <w:tblBorders>
        <w:top w:val="single" w:sz="4" w:space="0" w:color="95B3D7" w:themeColor="accent1" w:themeTint="99"/>
        <w:bottom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
    <w:name w:val="List Table 2 Accent 2"/>
    <w:basedOn w:val="a5"/>
    <w:uiPriority w:val="47"/>
    <w:rsid w:val="00EA5ED5"/>
    <w:tblPr>
      <w:tblStyleRowBandSize w:val="1"/>
      <w:tblStyleColBandSize w:val="1"/>
      <w:tblInd w:w="0" w:type="dxa"/>
      <w:tblBorders>
        <w:top w:val="single" w:sz="4" w:space="0" w:color="D99594" w:themeColor="accent2" w:themeTint="99"/>
        <w:bottom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
    <w:name w:val="List Table 2 Accent 3"/>
    <w:basedOn w:val="a5"/>
    <w:uiPriority w:val="47"/>
    <w:rsid w:val="00EA5ED5"/>
    <w:tblPr>
      <w:tblStyleRowBandSize w:val="1"/>
      <w:tblStyleColBandSize w:val="1"/>
      <w:tblInd w:w="0" w:type="dxa"/>
      <w:tblBorders>
        <w:top w:val="single" w:sz="4" w:space="0" w:color="C2D69B" w:themeColor="accent3" w:themeTint="99"/>
        <w:bottom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
    <w:name w:val="List Table 2 Accent 4"/>
    <w:basedOn w:val="a5"/>
    <w:uiPriority w:val="47"/>
    <w:rsid w:val="00EA5ED5"/>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
    <w:name w:val="List Table 2 Accent 5"/>
    <w:basedOn w:val="a5"/>
    <w:uiPriority w:val="47"/>
    <w:rsid w:val="00EA5ED5"/>
    <w:tblPr>
      <w:tblStyleRowBandSize w:val="1"/>
      <w:tblStyleColBandSize w:val="1"/>
      <w:tblInd w:w="0" w:type="dxa"/>
      <w:tblBorders>
        <w:top w:val="single" w:sz="4" w:space="0" w:color="92CDDC" w:themeColor="accent5" w:themeTint="99"/>
        <w:bottom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
    <w:name w:val="List Table 2 Accent 6"/>
    <w:basedOn w:val="a5"/>
    <w:uiPriority w:val="47"/>
    <w:rsid w:val="00EA5ED5"/>
    <w:tblPr>
      <w:tblStyleRowBandSize w:val="1"/>
      <w:tblStyleColBandSize w:val="1"/>
      <w:tblInd w:w="0" w:type="dxa"/>
      <w:tblBorders>
        <w:top w:val="single" w:sz="4" w:space="0" w:color="FABF8F" w:themeColor="accent6" w:themeTint="99"/>
        <w:bottom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
    <w:name w:val="List Table 3"/>
    <w:basedOn w:val="a5"/>
    <w:uiPriority w:val="48"/>
    <w:rsid w:val="00EA5ED5"/>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a5"/>
    <w:uiPriority w:val="48"/>
    <w:rsid w:val="00EA5ED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
    <w:name w:val="List Table 3 Accent 2"/>
    <w:basedOn w:val="a5"/>
    <w:uiPriority w:val="48"/>
    <w:rsid w:val="00EA5ED5"/>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
    <w:name w:val="List Table 3 Accent 3"/>
    <w:basedOn w:val="a5"/>
    <w:uiPriority w:val="48"/>
    <w:rsid w:val="00EA5ED5"/>
    <w:tblPr>
      <w:tblStyleRowBandSize w:val="1"/>
      <w:tblStyleColBandSize w:val="1"/>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
    <w:name w:val="List Table 3 Accent 4"/>
    <w:basedOn w:val="a5"/>
    <w:uiPriority w:val="48"/>
    <w:rsid w:val="00EA5ED5"/>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
    <w:name w:val="List Table 3 Accent 5"/>
    <w:basedOn w:val="a5"/>
    <w:uiPriority w:val="48"/>
    <w:rsid w:val="00EA5ED5"/>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
    <w:name w:val="List Table 3 Accent 6"/>
    <w:basedOn w:val="a5"/>
    <w:uiPriority w:val="48"/>
    <w:rsid w:val="00EA5ED5"/>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
    <w:name w:val="List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
    <w:name w:val="List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
    <w:name w:val="List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
    <w:name w:val="List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
    <w:name w:val="List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
    <w:name w:val="List Table 5 Dark"/>
    <w:basedOn w:val="a5"/>
    <w:uiPriority w:val="50"/>
    <w:rsid w:val="00EA5ED5"/>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a5"/>
    <w:uiPriority w:val="50"/>
    <w:rsid w:val="00EA5ED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a5"/>
    <w:uiPriority w:val="50"/>
    <w:rsid w:val="00EA5ED5"/>
    <w:rPr>
      <w:color w:val="FFFFFF" w:themeColor="background1"/>
    </w:rPr>
    <w:tblPr>
      <w:tblStyleRowBandSize w:val="1"/>
      <w:tblStyleColBandSize w:val="1"/>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a5"/>
    <w:uiPriority w:val="50"/>
    <w:rsid w:val="00EA5ED5"/>
    <w:rPr>
      <w:color w:val="FFFFFF" w:themeColor="background1"/>
    </w:rPr>
    <w:tblPr>
      <w:tblStyleRowBandSize w:val="1"/>
      <w:tblStyleColBandSize w:val="1"/>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a5"/>
    <w:uiPriority w:val="50"/>
    <w:rsid w:val="00EA5ED5"/>
    <w:rPr>
      <w:color w:val="FFFFFF" w:themeColor="background1"/>
    </w:rPr>
    <w:tblPr>
      <w:tblStyleRowBandSize w:val="1"/>
      <w:tblStyleColBandSize w:val="1"/>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a5"/>
    <w:uiPriority w:val="50"/>
    <w:rsid w:val="00EA5ED5"/>
    <w:rPr>
      <w:color w:val="FFFFFF" w:themeColor="background1"/>
    </w:rPr>
    <w:tblPr>
      <w:tblStyleRowBandSize w:val="1"/>
      <w:tblStyleColBandSize w:val="1"/>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a5"/>
    <w:uiPriority w:val="50"/>
    <w:rsid w:val="00EA5ED5"/>
    <w:rPr>
      <w:color w:val="FFFFFF" w:themeColor="background1"/>
    </w:rPr>
    <w:tblPr>
      <w:tblStyleRowBandSize w:val="1"/>
      <w:tblStyleColBandSize w:val="1"/>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a5"/>
    <w:uiPriority w:val="51"/>
    <w:rsid w:val="00EA5ED5"/>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a5"/>
    <w:uiPriority w:val="51"/>
    <w:rsid w:val="00EA5ED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
    <w:name w:val="List Table 6 Colorful Accent 2"/>
    <w:basedOn w:val="a5"/>
    <w:uiPriority w:val="51"/>
    <w:rsid w:val="00EA5ED5"/>
    <w:rPr>
      <w:color w:val="943634" w:themeColor="accent2" w:themeShade="BF"/>
    </w:rPr>
    <w:tblPr>
      <w:tblStyleRowBandSize w:val="1"/>
      <w:tblStyleColBandSize w:val="1"/>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
    <w:name w:val="List Table 6 Colorful Accent 3"/>
    <w:basedOn w:val="a5"/>
    <w:uiPriority w:val="51"/>
    <w:rsid w:val="00EA5ED5"/>
    <w:rPr>
      <w:color w:val="76923C" w:themeColor="accent3" w:themeShade="BF"/>
    </w:rPr>
    <w:tblPr>
      <w:tblStyleRowBandSize w:val="1"/>
      <w:tblStyleColBandSize w:val="1"/>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
    <w:name w:val="List Table 6 Colorful Accent 4"/>
    <w:basedOn w:val="a5"/>
    <w:uiPriority w:val="51"/>
    <w:rsid w:val="00EA5ED5"/>
    <w:rPr>
      <w:color w:val="5F497A" w:themeColor="accent4" w:themeShade="BF"/>
    </w:rPr>
    <w:tblPr>
      <w:tblStyleRowBandSize w:val="1"/>
      <w:tblStyleColBandSize w:val="1"/>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
    <w:name w:val="List Table 6 Colorful Accent 5"/>
    <w:basedOn w:val="a5"/>
    <w:uiPriority w:val="51"/>
    <w:rsid w:val="00EA5ED5"/>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
    <w:name w:val="List Table 6 Colorful Accent 6"/>
    <w:basedOn w:val="a5"/>
    <w:uiPriority w:val="51"/>
    <w:rsid w:val="00EA5ED5"/>
    <w:rPr>
      <w:color w:val="E36C0A" w:themeColor="accent6" w:themeShade="BF"/>
    </w:rPr>
    <w:tblPr>
      <w:tblStyleRowBandSize w:val="1"/>
      <w:tblStyleColBandSize w:val="1"/>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
    <w:name w:val="List Table 7 Colorful"/>
    <w:basedOn w:val="a5"/>
    <w:uiPriority w:val="52"/>
    <w:rsid w:val="00EA5ED5"/>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a5"/>
    <w:uiPriority w:val="52"/>
    <w:rsid w:val="00EA5ED5"/>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a5"/>
    <w:uiPriority w:val="52"/>
    <w:rsid w:val="00EA5ED5"/>
    <w:rPr>
      <w:color w:val="943634"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a5"/>
    <w:uiPriority w:val="52"/>
    <w:rsid w:val="00EA5ED5"/>
    <w:rPr>
      <w:color w:val="7692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a5"/>
    <w:uiPriority w:val="52"/>
    <w:rsid w:val="00EA5ED5"/>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a5"/>
    <w:uiPriority w:val="52"/>
    <w:rsid w:val="00EA5ED5"/>
    <w:rPr>
      <w:color w:val="31849B"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a5"/>
    <w:uiPriority w:val="52"/>
    <w:rsid w:val="00EA5ED5"/>
    <w:rPr>
      <w:color w:val="E36C0A"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f"/>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Charf">
    <w:name w:val="宏文本 Char"/>
    <w:basedOn w:val="a4"/>
    <w:link w:val="afff1"/>
    <w:uiPriority w:val="99"/>
    <w:semiHidden/>
    <w:rsid w:val="00EA5ED5"/>
    <w:rPr>
      <w:rFonts w:ascii="Linux Biolinum O" w:hAnsi="Linux Biolinum O" w:cs="Linux Biolinum O"/>
      <w:lang w:eastAsia="ja-JP"/>
    </w:rPr>
  </w:style>
  <w:style w:type="table" w:styleId="11">
    <w:name w:val="Medium Grid 1"/>
    <w:basedOn w:val="a5"/>
    <w:uiPriority w:val="67"/>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w:basedOn w:val="a5"/>
    <w:uiPriority w:val="65"/>
    <w:semiHidden/>
    <w:unhideWhenUsed/>
    <w:rsid w:val="00EA5ED5"/>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5"/>
    <w:uiPriority w:val="63"/>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63"/>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5"/>
    <w:uiPriority w:val="63"/>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5"/>
    <w:uiPriority w:val="63"/>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5"/>
    <w:uiPriority w:val="63"/>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5"/>
    <w:uiPriority w:val="63"/>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5"/>
    <w:uiPriority w:val="63"/>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1">
    <w:name w:val="Medium Shading 2 Accent 1"/>
    <w:basedOn w:val="a5"/>
    <w:uiPriority w:val="64"/>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1">
    <w:name w:val="Medium Shading 2 Accent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1">
    <w:name w:val="Medium Shading 2 Accent 3"/>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1">
    <w:name w:val="Medium Shading 2 Accent 4"/>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1">
    <w:name w:val="Medium Shading 2 Accent 5"/>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1">
    <w:name w:val="Medium Shading 2 Accent 6"/>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a4"/>
    <w:uiPriority w:val="99"/>
    <w:semiHidden/>
    <w:unhideWhenUsed/>
    <w:rsid w:val="00EA5ED5"/>
    <w:rPr>
      <w:rFonts w:ascii="Linux Biolinum O" w:hAnsi="Linux Biolinum O" w:cs="Linux Biolinum O"/>
      <w:color w:val="2B579A"/>
      <w:shd w:val="clear" w:color="auto" w:fill="E1DFDD"/>
    </w:rPr>
  </w:style>
  <w:style w:type="paragraph" w:styleId="afff2">
    <w:name w:val="Message Header"/>
    <w:basedOn w:val="a3"/>
    <w:link w:val="Charf0"/>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Charf0">
    <w:name w:val="信息标题 Char"/>
    <w:basedOn w:val="a4"/>
    <w:link w:val="afff2"/>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3">
    <w:name w:val="No Spacing"/>
    <w:uiPriority w:val="1"/>
    <w:qFormat/>
    <w:rsid w:val="00EA5ED5"/>
    <w:rPr>
      <w:rFonts w:ascii="Linux Biolinum O" w:hAnsi="Linux Biolinum O" w:cs="Linux Biolinum O"/>
      <w:sz w:val="18"/>
      <w:szCs w:val="24"/>
      <w:lang w:eastAsia="ja-JP"/>
    </w:rPr>
  </w:style>
  <w:style w:type="paragraph" w:styleId="afff4">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5">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6">
    <w:name w:val="Note Heading"/>
    <w:basedOn w:val="a3"/>
    <w:next w:val="a3"/>
    <w:link w:val="Charf1"/>
    <w:uiPriority w:val="99"/>
    <w:semiHidden/>
    <w:unhideWhenUsed/>
    <w:rsid w:val="00EA5ED5"/>
    <w:rPr>
      <w:rFonts w:ascii="Linux Libertine O" w:eastAsia="MS Mincho" w:hAnsi="Linux Libertine O" w:cs="Linux Libertine O"/>
      <w:sz w:val="18"/>
      <w:lang w:val="en-US" w:eastAsia="ja-JP"/>
    </w:rPr>
  </w:style>
  <w:style w:type="character" w:customStyle="1" w:styleId="Charf1">
    <w:name w:val="注释标题 Char"/>
    <w:basedOn w:val="a4"/>
    <w:link w:val="afff6"/>
    <w:uiPriority w:val="99"/>
    <w:semiHidden/>
    <w:rsid w:val="00EA5ED5"/>
    <w:rPr>
      <w:rFonts w:ascii="Linux Libertine O" w:hAnsi="Linux Libertine O" w:cs="Linux Libertine O"/>
      <w:sz w:val="18"/>
      <w:szCs w:val="24"/>
      <w:lang w:eastAsia="ja-JP"/>
    </w:rPr>
  </w:style>
  <w:style w:type="character" w:styleId="afff7">
    <w:name w:val="Placeholder Text"/>
    <w:basedOn w:val="a4"/>
    <w:uiPriority w:val="99"/>
    <w:semiHidden/>
    <w:rsid w:val="00EA5ED5"/>
    <w:rPr>
      <w:rFonts w:ascii="Linux Biolinum O" w:hAnsi="Linux Biolinum O" w:cs="Linux Biolinum O"/>
      <w:color w:val="808080"/>
    </w:rPr>
  </w:style>
  <w:style w:type="table" w:customStyle="1" w:styleId="PlainTable1">
    <w:name w:val="Plain Table 1"/>
    <w:basedOn w:val="a5"/>
    <w:uiPriority w:val="99"/>
    <w:rsid w:val="00EA5ED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5"/>
    <w:uiPriority w:val="99"/>
    <w:rsid w:val="00EA5ED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Plain Text"/>
    <w:basedOn w:val="a3"/>
    <w:link w:val="Charf2"/>
    <w:uiPriority w:val="99"/>
    <w:semiHidden/>
    <w:unhideWhenUsed/>
    <w:rsid w:val="00EA5ED5"/>
    <w:rPr>
      <w:rFonts w:ascii="Linux Biolinum O" w:eastAsia="MS Mincho" w:hAnsi="Linux Biolinum O" w:cs="Linux Biolinum O"/>
      <w:sz w:val="21"/>
      <w:szCs w:val="21"/>
      <w:lang w:val="en-US" w:eastAsia="ja-JP"/>
    </w:rPr>
  </w:style>
  <w:style w:type="character" w:customStyle="1" w:styleId="Charf2">
    <w:name w:val="纯文本 Char"/>
    <w:basedOn w:val="a4"/>
    <w:link w:val="afff8"/>
    <w:uiPriority w:val="99"/>
    <w:semiHidden/>
    <w:rsid w:val="00EA5ED5"/>
    <w:rPr>
      <w:rFonts w:ascii="Linux Biolinum O" w:hAnsi="Linux Biolinum O" w:cs="Linux Biolinum O"/>
      <w:sz w:val="21"/>
      <w:szCs w:val="21"/>
      <w:lang w:eastAsia="ja-JP"/>
    </w:rPr>
  </w:style>
  <w:style w:type="paragraph" w:styleId="afff9">
    <w:name w:val="Quote"/>
    <w:basedOn w:val="a3"/>
    <w:next w:val="a3"/>
    <w:link w:val="Charf3"/>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Charf3">
    <w:name w:val="引用 Char"/>
    <w:basedOn w:val="a4"/>
    <w:link w:val="afff9"/>
    <w:uiPriority w:val="29"/>
    <w:rsid w:val="00EA5ED5"/>
    <w:rPr>
      <w:rFonts w:ascii="Linux Libertine O" w:hAnsi="Linux Libertine O" w:cs="Linux Libertine O"/>
      <w:i/>
      <w:iCs/>
      <w:color w:val="404040" w:themeColor="text1" w:themeTint="BF"/>
      <w:sz w:val="18"/>
      <w:szCs w:val="24"/>
      <w:lang w:eastAsia="ja-JP"/>
    </w:rPr>
  </w:style>
  <w:style w:type="paragraph" w:styleId="afffa">
    <w:name w:val="Salutation"/>
    <w:basedOn w:val="a3"/>
    <w:next w:val="a3"/>
    <w:link w:val="Charf4"/>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f4">
    <w:name w:val="称呼 Char"/>
    <w:basedOn w:val="a4"/>
    <w:link w:val="afffa"/>
    <w:uiPriority w:val="99"/>
    <w:semiHidden/>
    <w:rsid w:val="00EA5ED5"/>
    <w:rPr>
      <w:rFonts w:ascii="Linux Libertine O" w:hAnsi="Linux Libertine O" w:cs="Linux Libertine O"/>
      <w:sz w:val="18"/>
      <w:szCs w:val="24"/>
      <w:lang w:eastAsia="ja-JP"/>
    </w:rPr>
  </w:style>
  <w:style w:type="paragraph" w:styleId="afffb">
    <w:name w:val="Signature"/>
    <w:basedOn w:val="a3"/>
    <w:link w:val="Charf5"/>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f5">
    <w:name w:val="签名 Char"/>
    <w:basedOn w:val="a4"/>
    <w:link w:val="afffb"/>
    <w:uiPriority w:val="99"/>
    <w:semiHidden/>
    <w:rsid w:val="00EA5ED5"/>
    <w:rPr>
      <w:rFonts w:ascii="Linux Libertine O" w:hAnsi="Linux Libertine O" w:cs="Linux Libertine O"/>
      <w:sz w:val="18"/>
      <w:szCs w:val="24"/>
      <w:lang w:eastAsia="ja-JP"/>
    </w:rPr>
  </w:style>
  <w:style w:type="character" w:customStyle="1" w:styleId="SmartHyperlink">
    <w:name w:val="Smart Hyperlink"/>
    <w:basedOn w:val="a4"/>
    <w:uiPriority w:val="99"/>
    <w:semiHidden/>
    <w:unhideWhenUsed/>
    <w:rsid w:val="00EA5ED5"/>
    <w:rPr>
      <w:rFonts w:ascii="Linux Biolinum O" w:hAnsi="Linux Biolinum O" w:cs="Linux Biolinum O"/>
      <w:u w:val="dotted"/>
    </w:rPr>
  </w:style>
  <w:style w:type="character" w:styleId="afffc">
    <w:name w:val="Strong"/>
    <w:basedOn w:val="a4"/>
    <w:uiPriority w:val="22"/>
    <w:qFormat/>
    <w:rsid w:val="00EA5ED5"/>
    <w:rPr>
      <w:rFonts w:ascii="Linux Biolinum O" w:hAnsi="Linux Biolinum O" w:cs="Linux Biolinum O"/>
      <w:b/>
      <w:bCs/>
    </w:rPr>
  </w:style>
  <w:style w:type="character" w:styleId="afffd">
    <w:name w:val="Subtle Emphasis"/>
    <w:basedOn w:val="a4"/>
    <w:uiPriority w:val="19"/>
    <w:qFormat/>
    <w:rsid w:val="00EA5ED5"/>
    <w:rPr>
      <w:rFonts w:ascii="Linux Biolinum O" w:hAnsi="Linux Biolinum O" w:cs="Linux Biolinum O"/>
      <w:i/>
      <w:iCs/>
      <w:color w:val="404040" w:themeColor="text1" w:themeTint="BF"/>
    </w:rPr>
  </w:style>
  <w:style w:type="character" w:styleId="afffe">
    <w:name w:val="Subtle Reference"/>
    <w:basedOn w:val="a4"/>
    <w:uiPriority w:val="31"/>
    <w:qFormat/>
    <w:rsid w:val="00EA5ED5"/>
    <w:rPr>
      <w:rFonts w:ascii="Linux Biolinum O" w:hAnsi="Linux Biolinum O" w:cs="Linux Biolinum O"/>
      <w:smallCaps/>
      <w:color w:val="5A5A5A" w:themeColor="text1" w:themeTint="A5"/>
    </w:rPr>
  </w:style>
  <w:style w:type="table" w:styleId="14">
    <w:name w:val="Table 3D effects 1"/>
    <w:basedOn w:val="a5"/>
    <w:uiPriority w:val="99"/>
    <w:semiHidden/>
    <w:unhideWhenUsed/>
    <w:rsid w:val="00EA5ED5"/>
    <w:pPr>
      <w:spacing w:after="20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5"/>
    <w:uiPriority w:val="99"/>
    <w:semiHidden/>
    <w:unhideWhenUsed/>
    <w:rsid w:val="00EA5ED5"/>
    <w:pPr>
      <w:spacing w:after="20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uiPriority w:val="99"/>
    <w:semiHidden/>
    <w:unhideWhenUsed/>
    <w:rsid w:val="00EA5ED5"/>
    <w:pPr>
      <w:spacing w:after="20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5"/>
    <w:uiPriority w:val="99"/>
    <w:semiHidden/>
    <w:unhideWhenUsed/>
    <w:rsid w:val="00EA5ED5"/>
    <w:pPr>
      <w:spacing w:after="20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5"/>
    <w:uiPriority w:val="99"/>
    <w:semiHidden/>
    <w:unhideWhenUsed/>
    <w:rsid w:val="00EA5ED5"/>
    <w:pPr>
      <w:spacing w:after="20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EA5ED5"/>
    <w:pPr>
      <w:spacing w:after="20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5"/>
    <w:uiPriority w:val="99"/>
    <w:semiHidden/>
    <w:unhideWhenUsed/>
    <w:rsid w:val="00EA5ED5"/>
    <w:pPr>
      <w:spacing w:after="20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5"/>
    <w:uiPriority w:val="99"/>
    <w:semiHidden/>
    <w:unhideWhenUsed/>
    <w:rsid w:val="00EA5ED5"/>
    <w:pPr>
      <w:spacing w:after="20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5"/>
    <w:uiPriority w:val="99"/>
    <w:semiHidden/>
    <w:unhideWhenUsed/>
    <w:rsid w:val="00EA5ED5"/>
    <w:pPr>
      <w:spacing w:after="20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5"/>
    <w:uiPriority w:val="99"/>
    <w:semiHidden/>
    <w:unhideWhenUsed/>
    <w:rsid w:val="00EA5ED5"/>
    <w:pPr>
      <w:spacing w:after="20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5"/>
    <w:uiPriority w:val="99"/>
    <w:semiHidden/>
    <w:unhideWhenUsed/>
    <w:rsid w:val="00EA5ED5"/>
    <w:pPr>
      <w:spacing w:after="20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5"/>
    <w:uiPriority w:val="99"/>
    <w:semiHidden/>
    <w:unhideWhenUsed/>
    <w:rsid w:val="00EA5ED5"/>
    <w:pPr>
      <w:spacing w:after="20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
    <w:name w:val="Table Contemporary"/>
    <w:basedOn w:val="a5"/>
    <w:uiPriority w:val="99"/>
    <w:semiHidden/>
    <w:unhideWhenUsed/>
    <w:rsid w:val="00EA5ED5"/>
    <w:pPr>
      <w:spacing w:after="20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0">
    <w:name w:val="Table Elegant"/>
    <w:basedOn w:val="a5"/>
    <w:uiPriority w:val="99"/>
    <w:semiHidden/>
    <w:unhideWhenUsed/>
    <w:rsid w:val="00EA5ED5"/>
    <w:pPr>
      <w:spacing w:after="20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1">
    <w:name w:val="Table Grid"/>
    <w:basedOn w:val="a5"/>
    <w:rsid w:val="00EA5E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8">
    <w:name w:val="Table Grid 1"/>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5"/>
    <w:uiPriority w:val="99"/>
    <w:semiHidden/>
    <w:unhideWhenUsed/>
    <w:rsid w:val="00EA5ED5"/>
    <w:pPr>
      <w:spacing w:after="20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uiPriority w:val="99"/>
    <w:semiHidden/>
    <w:unhideWhenUsed/>
    <w:rsid w:val="00EA5ED5"/>
    <w:pPr>
      <w:spacing w:after="20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5"/>
    <w:uiPriority w:val="99"/>
    <w:semiHidden/>
    <w:unhideWhenUsed/>
    <w:rsid w:val="00EA5ED5"/>
    <w:pPr>
      <w:spacing w:after="20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5"/>
    <w:uiPriority w:val="99"/>
    <w:semiHidden/>
    <w:unhideWhenUsed/>
    <w:rsid w:val="00EA5ED5"/>
    <w:pPr>
      <w:spacing w:after="20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5"/>
    <w:uiPriority w:val="99"/>
    <w:semiHidden/>
    <w:unhideWhenUsed/>
    <w:rsid w:val="00EA5ED5"/>
    <w:pPr>
      <w:spacing w:after="20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a5"/>
    <w:uiPriority w:val="99"/>
    <w:rsid w:val="00EA5ED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9">
    <w:name w:val="Table List 1"/>
    <w:basedOn w:val="a5"/>
    <w:uiPriority w:val="99"/>
    <w:semiHidden/>
    <w:unhideWhenUsed/>
    <w:rsid w:val="00EA5ED5"/>
    <w:pPr>
      <w:spacing w:after="20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5"/>
    <w:uiPriority w:val="99"/>
    <w:semiHidden/>
    <w:unhideWhenUsed/>
    <w:rsid w:val="00EA5ED5"/>
    <w:pPr>
      <w:spacing w:after="20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5"/>
    <w:uiPriority w:val="99"/>
    <w:semiHidden/>
    <w:unhideWhenUsed/>
    <w:rsid w:val="00EA5ED5"/>
    <w:pPr>
      <w:spacing w:after="20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5"/>
    <w:uiPriority w:val="99"/>
    <w:semiHidden/>
    <w:unhideWhenUsed/>
    <w:rsid w:val="00EA5ED5"/>
    <w:pPr>
      <w:spacing w:after="20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2">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3">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4">
    <w:name w:val="Table Professional"/>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5"/>
    <w:uiPriority w:val="99"/>
    <w:semiHidden/>
    <w:unhideWhenUsed/>
    <w:rsid w:val="00EA5ED5"/>
    <w:pPr>
      <w:spacing w:after="20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5"/>
    <w:uiPriority w:val="99"/>
    <w:semiHidden/>
    <w:unhideWhenUsed/>
    <w:rsid w:val="00EA5ED5"/>
    <w:pPr>
      <w:spacing w:after="20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5"/>
    <w:uiPriority w:val="99"/>
    <w:rsid w:val="00EA5ED5"/>
    <w:pPr>
      <w:spacing w:after="20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Theme"/>
    <w:basedOn w:val="a5"/>
    <w:uiPriority w:val="99"/>
    <w:semiHidden/>
    <w:unhideWhenUsed/>
    <w:rsid w:val="00EA5ED5"/>
    <w:pPr>
      <w:spacing w:after="20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c">
    <w:name w:val="Table Web 1"/>
    <w:basedOn w:val="a5"/>
    <w:uiPriority w:val="99"/>
    <w:semiHidden/>
    <w:unhideWhenUsed/>
    <w:rsid w:val="00EA5ED5"/>
    <w:pPr>
      <w:spacing w:after="20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5"/>
    <w:uiPriority w:val="99"/>
    <w:semiHidden/>
    <w:unhideWhenUsed/>
    <w:rsid w:val="00EA5ED5"/>
    <w:pPr>
      <w:spacing w:after="20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rsid w:val="00EA5ED5"/>
    <w:pPr>
      <w:spacing w:after="20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6">
    <w:name w:val="Title"/>
    <w:basedOn w:val="a3"/>
    <w:next w:val="a3"/>
    <w:link w:val="Charf6"/>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Charf6">
    <w:name w:val="标题 Char"/>
    <w:basedOn w:val="a4"/>
    <w:link w:val="affff6"/>
    <w:uiPriority w:val="10"/>
    <w:rsid w:val="00EA5ED5"/>
    <w:rPr>
      <w:rFonts w:ascii="Linux Libertine O" w:eastAsiaTheme="majorEastAsia" w:hAnsi="Linux Libertine O" w:cs="Linux Libertine O"/>
      <w:spacing w:val="-10"/>
      <w:kern w:val="28"/>
      <w:sz w:val="56"/>
      <w:szCs w:val="56"/>
      <w:lang w:eastAsia="ja-JP"/>
    </w:rPr>
  </w:style>
  <w:style w:type="paragraph" w:styleId="affff7">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1d">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2f4">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3f0">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49">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58">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63">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73">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83">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91">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UnresolvedMention">
    <w:name w:val="Unresolved Mention"/>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8">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A93B8D"/>
    <w:pPr>
      <w:spacing w:after="120"/>
      <w:jc w:val="center"/>
    </w:pPr>
    <w:rPr>
      <w:rFonts w:ascii="Helvetica" w:eastAsiaTheme="minorEastAsia" w:hAnsi="Helvetica"/>
      <w:b/>
      <w:sz w:val="3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yperlink" Target="https://doi.org/10.1145/567446.567449"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doi.org/10.1007/3-540-09237-4" TargetMode="External"/><Relationship Id="rId2" Type="http://schemas.openxmlformats.org/officeDocument/2006/relationships/numbering" Target="numbering.xml"/><Relationship Id="rId16" Type="http://schemas.openxmlformats.org/officeDocument/2006/relationships/hyperlink" Target="http://www.iesl.cs.umass.edu/data/data-umasscitationfield" TargetMode="External"/><Relationship Id="rId20" Type="http://schemas.openxmlformats.org/officeDocument/2006/relationships/hyperlink" Target="http://tinyurl.com/lzny7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l.acm.org/ccs/ccs.cf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acm.org/accessibility" TargetMode="External"/><Relationship Id="rId23" Type="http://schemas.openxmlformats.org/officeDocument/2006/relationships/fontTable" Target="fontTable.xml"/><Relationship Id="rId10" Type="http://schemas.openxmlformats.org/officeDocument/2006/relationships/hyperlink" Target="http://dl.acm.org/ccs/ccs.cfm?" TargetMode="External"/><Relationship Id="rId19" Type="http://schemas.openxmlformats.org/officeDocument/2006/relationships/hyperlink" Target="http://wwtug.org/instmem.html" TargetMode="External"/><Relationship Id="rId4" Type="http://schemas.microsoft.com/office/2007/relationships/stylesWithEffects" Target="stylesWithEffects.xml"/><Relationship Id="rId9" Type="http://schemas.openxmlformats.org/officeDocument/2006/relationships/hyperlink" Target="http://www.acm.org/publications/class-2012" TargetMode="External"/><Relationship Id="rId14" Type="http://schemas.openxmlformats.org/officeDocument/2006/relationships/hyperlink" Target="https://commons.wikimedia.org/wiki/File:TuringBombeBletchleyPark.jpg" TargetMode="External"/><Relationship Id="rId22" Type="http://schemas.openxmlformats.org/officeDocument/2006/relationships/footer" Target="footer2.xml"/><Relationship Id="rId2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B62C699-8AA1-4FFF-8C1D-5AF38BD5D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Pages>
  <Words>4562</Words>
  <Characters>26005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The Title of the Paper: Perhaps a Very Long Title, or an Extremely Long, Title that Spans More Than One Line</vt:lpstr>
    </vt:vector>
  </TitlesOfParts>
  <Manager/>
  <Company>Aptara and Volunteers</Company>
  <LinksUpToDate>false</LinksUpToDate>
  <CharactersWithSpaces>30506</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Paper: Perhaps a Very Long Title, or an Extremely Long, Title that Spans More Than One Line</dc:title>
  <dc:subject/>
  <dc:creator>Sandeep Sharma, Simone Barbosa, and Julie R. Williamson</dc:creator>
  <cp:keywords/>
  <dc:description>Add XML for CSS Concepts here.</dc:description>
  <cp:lastModifiedBy>Mickie</cp:lastModifiedBy>
  <cp:revision>26</cp:revision>
  <cp:lastPrinted>2020-06-10T20:54:00Z</cp:lastPrinted>
  <dcterms:created xsi:type="dcterms:W3CDTF">2020-05-14T13:47:00Z</dcterms:created>
  <dcterms:modified xsi:type="dcterms:W3CDTF">2020-08-14T02:53:00Z</dcterms:modified>
  <cp:category/>
</cp:coreProperties>
</file>