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the other strong baselines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of the series separates these two kinds of series in advance, and method-selection rules built on either grouping do not reliably beat a single method.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On M5, Theodorou et al. [7] report that the most accurate method may not be the best choice when lost-sales costs dominate, especially for intermittent products (we had access to the abstract of [7] only).</w:t>
      </w:r>
    </w:p>
    <w:p>
      <w:pPr>
        <w:pStyle w:val="Para"/>
      </w:pPr>
      <w:r>
        <w:t>Three gaps remain. First, studies that link forecasts to inventory on M5 often keep only selected series, such as 8,000 high-volume series [8] or a subset of volatile food items [9], although most retail series are intermittent. Second, they rely on one dataset and one test period [5, 8, 9], so it is unknown whether their conclusions transfer to another retail setting or another period. Third, public datasets contain neither costs nor inventory positions, so cost-based evaluations depend on assumed parameters.</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follows from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On M5,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According to its abstract, [7] simulates an order-up-to policy with quantile forecasts on M5 for different demand patterns and cost structures.</w:t>
      </w:r>
    </w:p>
    <w:p>
      <w:pPr>
        <w:pStyle w:val="Para"/>
      </w:pPr>
      <w:r>
        <w:t>Our study differs from these works in combining two retail settings, all demand classes, a liquidation decision, a comparison that needs no cost assumption, and three test windows.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for selection, splitting and evaluation. The only definitional difference is the series start (first listed price in M5, first sale in VN1); it is immaterial, because the two coincide for 99.5% of the M5 series and recomputing the M5 classes with the VN1 definition changes their shares by at most 0.1 percentage points. The datasets nevertheless contain different kinds of series: a classifier separates them with an AUC of 0.91 from nine features of demand behaviour alone. Section 5.6 examines whether this explains the differences in our results.</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All experiments ran on a laptop CPU (Intel Core i5-12450H, 16 GB RAM). One horizon of LGB-Q took 1,251 s on M5 and 146 s on VN1; TSB-NB took 68 s and 30 s.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Among K-means and Gaussian mixtures with 3 to 8 components, a three-component Gaussian mixture was selected by criteria fixed in advance (bootstrap stability and minimum cluster size).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 Dead13 targets stock that would indeed have remained unsold on VN1, but on M5 products that have not sold for 13 weeks usually sell again.</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LGB-Q is more accurate than TSB-NB on 49–51% of the re-weighted series, against 60–64% on M5, and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(events, SNAP days and four hierarchy attributes). Refitting them on M5 with the 21 shared features only changes the inventory needed by LGB-Q by less than 1% in every window; LGB-Q keeps the best frontier rank in every resample and still needs 4.2–9.0% less inventory than TSB-NB and 2.7–6.6% less than LGB-T.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and need no cost assumption. A single test period would have given a confident but wrong answer on VN1 in either direction.</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for intermittent products; our results add that the divergence depends on the period and that it is not visible on M5 at the service levels we studied. Since growth cannot be read from the demand classes or from a richer segmentation, we see no reliable basis for switching methods by group.</w:t>
      </w:r>
    </w:p>
    <w:p>
      <w:pPr>
        <w:pStyle w:val="Para"/>
      </w:pPr>
      <w:r>
        <w:rPr>
          <w:b/>
        </w:rPr>
        <w:t>LGB-Q is the minimax-regret choice.</w:t>
      </w:r>
      <w:r>
        <w:t xml:space="preserve"> Averaged over the fill targets it reaches, LGB-Q needs at most 9.4% more inventory than the best method in any window of either dataset, and it reaches all five targets in five of the six runs. TSB-NB needs up to 20.7% more and reaches only two of the five targets in the third VN1 window. Among the global models on VN1, however, the order of LGB-Q, LGB-C and HGB-Q is not robust: they differ by a few per cent and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The demand-shift analysis is ex post. Three windows per dataset are few; the consistency of method rankings between the two datasets is weak (Spearman correlation of frontier ranks 0.86, 0.29 and 0.61). Twenty-six weeks are too short to observe the benefit of clearing obsolete stock. Two extensions are reported in the repository only: a zero-shot, univariate use of the Chronos-2 foundation model [22] on VN1, which was less accurate than LGB-Q on 69–73% of the series and never the most inventory-efficient method, and a case study on Vietnamese footwear retail data with actual unit costs, which gave similar break-even salvage ratios but has unresolved data-quality and licence issues.</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the other strong baselines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Future work should predict demand growth directly,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