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99"/>
          <w:sz w:val="32"/>
        </w:rPr>
        <w:t>QUY TRÌNH MUA HÀNG VÀ ĐẤU THẦU CUNG ỨNG NĂM 2026</w:t>
        <w:br/>
        <w:t>(TÀI LIỆU QUY CHẾ DOANH NGHIỆP TIÊU CHUẨN)</w:t>
      </w:r>
    </w:p>
    <w:p>
      <w:r>
        <w:t>Mã tài liệu: ERP-SOP-PROC-2026-V2 | Ban hành: Khối Vận hành &amp; Cung ứng | Hiệu lực: 01/01/2026 - 31/12/2026</w:t>
      </w:r>
    </w:p>
    <w:p>
      <w:r>
        <w:t>---------------------------------------------------------------------------------------------------------</w:t>
      </w:r>
    </w:p>
    <w:p>
      <w:pPr>
        <w:pStyle w:val="Heading1"/>
      </w:pPr>
      <w:r>
        <w:t>CHƯƠNG 1: QUY ĐỊNH CHUNG VÀ NGUYÊN TẮC CỐT LÕI</w:t>
      </w:r>
    </w:p>
    <w:p>
      <w:r>
        <w:t>1.1. Phạm vi áp dụng:</w:t>
        <w:br/>
        <w:t>Quy trình này áp dụng thống nhất cho toàn bộ các phòng ban, chi nhánh và công ty thành viên trong việc đề xuất, lựa chọn nhà cung cấp, đàm phán thương thảo, ký kết hợp đồng và thanh quyết toán các khoản chi mua sắm tài sản, thiết bị tin học, nguyên vật liệu và dịch vụ phục vụ hoạt động sản xuất kinh doanh.</w:t>
      </w:r>
    </w:p>
    <w:p>
      <w:r>
        <w:t>1.2. Nguyên tắc mua sắm:</w:t>
        <w:br/>
        <w:t>- Tính cạnh tranh và minh bạch: Mọi gói mua sắm có giá trị từ 20.000.000 VNĐ trở lên bắt buộc phải có tối thiểu 03 báo giá độc lập từ các nhà cung cấp đạt chuẩn.</w:t>
        <w:br/>
        <w:t>- Tiết kiệm và hiệu quả: Ưu tiên lựa chọn nhà cung cấp có tổng chi phí sở hữu (TCO) tối ưu nhất, bao gồm giá mua, chi phí vận chuyển, chính sách bảo hành và hỗ trợ kỹ thuật.</w:t>
        <w:br/>
        <w:t>- Chống xung đột lợi ích: Cán bộ tham gia quy trình mua sắm không được có quan hệ thân nhân hoặc lợi ích tài chính trực tiếp với các nhà thầu tham gia chào giá.</w:t>
      </w:r>
    </w:p>
    <w:p>
      <w:pPr>
        <w:pStyle w:val="Heading1"/>
      </w:pPr>
      <w:r>
        <w:t>CHƯƠNG 2: HẠN MỨC PHÊ DUYỆT NGÂN SÁCH MUA SẮM (HITL DELEGATION)</w:t>
      </w:r>
    </w:p>
    <w:p>
      <w:r>
        <w:t>Phân cấp thẩm quyền phê duyệt đơn mua hàng và yêu cầu cung ứng được quy định chi tiết theo bảng dưới đây:</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Hạn mức giá trị (VNĐ)</w:t>
            </w:r>
          </w:p>
        </w:tc>
        <w:tc>
          <w:tcPr>
            <w:tcW w:type="dxa" w:w="2160"/>
          </w:tcPr>
          <w:p>
            <w:r>
              <w:t>Cấp thẩm quyền phê duyệt</w:t>
            </w:r>
          </w:p>
        </w:tc>
        <w:tc>
          <w:tcPr>
            <w:tcW w:type="dxa" w:w="2160"/>
          </w:tcPr>
          <w:p>
            <w:r>
              <w:t>Hồ sơ bắt buộc</w:t>
            </w:r>
          </w:p>
        </w:tc>
        <w:tc>
          <w:tcPr>
            <w:tcW w:type="dxa" w:w="2160"/>
          </w:tcPr>
          <w:p>
            <w:r>
              <w:t>Thời gian xử lý tối đa</w:t>
            </w:r>
          </w:p>
        </w:tc>
      </w:tr>
      <w:tr>
        <w:tc>
          <w:tcPr>
            <w:tcW w:type="dxa" w:w="2160"/>
          </w:tcPr>
          <w:p>
            <w:r>
              <w:t>Dưới 20.000.000 VNĐ</w:t>
            </w:r>
          </w:p>
        </w:tc>
        <w:tc>
          <w:tcPr>
            <w:tcW w:type="dxa" w:w="2160"/>
          </w:tcPr>
          <w:p>
            <w:r>
              <w:t>Trưởng phòng bộ phận</w:t>
            </w:r>
          </w:p>
        </w:tc>
        <w:tc>
          <w:tcPr>
            <w:tcW w:type="dxa" w:w="2160"/>
          </w:tcPr>
          <w:p>
            <w:r>
              <w:t>Phiếu yêu cầu mua hàng (PR) + 01 Báo giá</w:t>
            </w:r>
          </w:p>
        </w:tc>
        <w:tc>
          <w:tcPr>
            <w:tcW w:type="dxa" w:w="2160"/>
          </w:tcPr>
          <w:p>
            <w:r>
              <w:t>24 giờ làm việc</w:t>
            </w:r>
          </w:p>
        </w:tc>
      </w:tr>
      <w:tr>
        <w:tc>
          <w:tcPr>
            <w:tcW w:type="dxa" w:w="2160"/>
          </w:tcPr>
          <w:p>
            <w:r>
              <w:t>Từ 20.000.000 đến 100.000.000 VNĐ</w:t>
            </w:r>
          </w:p>
        </w:tc>
        <w:tc>
          <w:tcPr>
            <w:tcW w:type="dxa" w:w="2160"/>
          </w:tcPr>
          <w:p>
            <w:r>
              <w:t>Giám đốc Khối / Bộ phận</w:t>
            </w:r>
          </w:p>
        </w:tc>
        <w:tc>
          <w:tcPr>
            <w:tcW w:type="dxa" w:w="2160"/>
          </w:tcPr>
          <w:p>
            <w:r>
              <w:t>PR + 03 Báo giá cạnh tranh + Bảng so sánh nhà thầu</w:t>
            </w:r>
          </w:p>
        </w:tc>
        <w:tc>
          <w:tcPr>
            <w:tcW w:type="dxa" w:w="2160"/>
          </w:tcPr>
          <w:p>
            <w:r>
              <w:t>48 giờ làm việc</w:t>
            </w:r>
          </w:p>
        </w:tc>
      </w:tr>
      <w:tr>
        <w:tc>
          <w:tcPr>
            <w:tcW w:type="dxa" w:w="2160"/>
          </w:tcPr>
          <w:p>
            <w:r>
              <w:t>Từ 100.000.000 đến 500.000.000 VNĐ</w:t>
            </w:r>
          </w:p>
        </w:tc>
        <w:tc>
          <w:tcPr>
            <w:tcW w:type="dxa" w:w="2160"/>
          </w:tcPr>
          <w:p>
            <w:r>
              <w:t>Giám đốc Tài chính (CFO)</w:t>
            </w:r>
          </w:p>
        </w:tc>
        <w:tc>
          <w:tcPr>
            <w:tcW w:type="dxa" w:w="2160"/>
          </w:tcPr>
          <w:p>
            <w:r>
              <w:t>Hồ sơ thầu + Dự thảo hợp đồng + Thẩm định năng lực</w:t>
            </w:r>
          </w:p>
        </w:tc>
        <w:tc>
          <w:tcPr>
            <w:tcW w:type="dxa" w:w="2160"/>
          </w:tcPr>
          <w:p>
            <w:r>
              <w:t>03 ngày làm việc</w:t>
            </w:r>
          </w:p>
        </w:tc>
      </w:tr>
      <w:tr>
        <w:tc>
          <w:tcPr>
            <w:tcW w:type="dxa" w:w="2160"/>
          </w:tcPr>
          <w:p>
            <w:r>
              <w:t>Trên 500.000.000 VNĐ</w:t>
            </w:r>
          </w:p>
        </w:tc>
        <w:tc>
          <w:tcPr>
            <w:tcW w:type="dxa" w:w="2160"/>
          </w:tcPr>
          <w:p>
            <w:r>
              <w:t>Tổng Giám Đốc (CEO)</w:t>
            </w:r>
          </w:p>
        </w:tc>
        <w:tc>
          <w:tcPr>
            <w:tcW w:type="dxa" w:w="2160"/>
          </w:tcPr>
          <w:p>
            <w:r>
              <w:t>Nghị quyết HĐQT / Phê duyệt chủ trương + Toàn bộ hồ sơ thầu</w:t>
            </w:r>
          </w:p>
        </w:tc>
        <w:tc>
          <w:tcPr>
            <w:tcW w:type="dxa" w:w="2160"/>
          </w:tcPr>
          <w:p>
            <w:r>
              <w:t>05 ngày làm việc</w:t>
            </w:r>
          </w:p>
        </w:tc>
      </w:tr>
    </w:tbl>
    <w:p>
      <w:pPr>
        <w:pStyle w:val="Heading1"/>
      </w:pPr>
      <w:r>
        <w:t>CHƯƠNG 3: QUY TRÌNH ĐỐI SOÁT 3 CHIỀU (3-WAY MATCHING)</w:t>
      </w:r>
    </w:p>
    <w:p>
      <w:r>
        <w:t>Để đảm bảo tính chính xác và loại bỏ rủi ro thất thoát trong thanh toán, Bộ phận Kế toán bắt buộc phải thực hiện đối soát 3 chiều trước khi giải ngân:</w:t>
        <w:br/>
        <w:t>1. Đơn đặt hàng mua (Purchase Order - PO): Xác nhận mã hàng SKU, số lượng đặt, đơn giá thỏa thuận và thời hạn giao nhận.</w:t>
        <w:br/>
        <w:t>2. Phiếu nhập kho (Goods Receipt Note - GRN): Biên bản bàn giao thực tế do Thủ kho ký nhận sau khi kiểm định chất lượng QA/QC.</w:t>
        <w:br/>
        <w:t>3. Hóa đơn tài chính (e-Invoice): Hóa đơn điện tử hợp lệ của Nhà cung cấp phát hành trên hệ thống Tổng cục Thuế.</w:t>
        <w:br/>
        <w:br/>
        <w:t>Nếu phát sinh sai lệch giữa số lượng thực nhận và số lượng trên hóa đơn vượt quá 1% hoặc sai lệch về đơn giá, hệ thống ERP sẽ tự động khóa lệnh chi và cảnh báo lên Giám đốc Mua hàng.</w:t>
      </w:r>
    </w:p>
    <w:p>
      <w:pPr>
        <w:pStyle w:val="Heading1"/>
      </w:pPr>
      <w:r>
        <w:t>CHƯƠNG 4: CHẾ TÀI VÀ PHẠT VI PHẠM GIAO HÀNG</w:t>
      </w:r>
    </w:p>
    <w:p>
      <w:r>
        <w:t>- Phạt giao hàng chậm: Nhà cung cấp giao hàng trễ hạn so với cam kết trên PO sẽ chịu mức phạt 0.5% tổng giá trị lô hàng cho mỗi ngày chậm trễ, nhưng tối đa không quá 8% tổng giá trị hợp đồng.</w:t>
        <w:br/>
        <w:t>- Hàng lỗi hoặc sai quy cách: Nhà cung cấp có trách nhiệm đổi mới 100% sản phẩm đạt chuẩn trong vòng 48 giờ kể từ khi nhận biên bản kiểm định. Mọi chi phí vận chuyển phát sinh do nhà cung cấp chịu trách nhiệm.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