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FE4D6">
      <w:pPr>
        <w:spacing w:before="480" w:after="480" w:line="288" w:lineRule="auto"/>
        <w:ind w:left="0"/>
        <w:jc w:val="center"/>
        <w:rPr>
          <w:sz w:val="30"/>
          <w:szCs w:val="30"/>
        </w:rPr>
      </w:pPr>
      <w:r>
        <w:rPr>
          <w:rFonts w:ascii="Arial" w:hAnsi="Arial" w:eastAsia="等线" w:cs="Arial"/>
          <w:b/>
          <w:sz w:val="30"/>
          <w:szCs w:val="30"/>
        </w:rPr>
        <w:t>广东 2026 年政府工作报告：构建现代化产业体系</w:t>
      </w:r>
    </w:p>
    <w:p w14:paraId="4D47EE6A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广东省2026年政府工作报告与高质量发展相关部署，明确构建“</w:t>
      </w:r>
      <w:r>
        <w:rPr>
          <w:rFonts w:ascii="Arial" w:hAnsi="Arial" w:eastAsia="等线" w:cs="Arial"/>
          <w:b/>
          <w:sz w:val="22"/>
        </w:rPr>
        <w:t>传统产业筑基、新兴产业领航、未来产业布局</w:t>
      </w:r>
      <w:r>
        <w:rPr>
          <w:rFonts w:ascii="Arial" w:hAnsi="Arial" w:eastAsia="等线" w:cs="Arial"/>
          <w:sz w:val="22"/>
        </w:rPr>
        <w:t>”的现代化产业体系，形成三类产业协同融通的发展格局。以下是重点发展与未来重点布局的产业全景：</w:t>
      </w:r>
    </w:p>
    <w:p w14:paraId="538D664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jc w:val="both"/>
      </w:pPr>
    </w:p>
    <w:p w14:paraId="0E17CDCA">
      <w:pPr>
        <w:spacing w:before="300" w:after="120" w:line="288" w:lineRule="auto"/>
        <w:ind w:left="0"/>
        <w:jc w:val="both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一、传统产业（优化升级，打造“永不落幕”集群）</w:t>
      </w:r>
      <w:bookmarkEnd w:id="0"/>
    </w:p>
    <w:p w14:paraId="0DA81055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政府工作报告明确提出，广东传统产业占规模以上制造业增加值比重超七成，是制造业当家的基本盘：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91A624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9CEC7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重点领域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D9442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升级方向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0BFFE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</w:tr>
      <w:tr w14:paraId="132D960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94743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电子、机械、化工、轻工、建材、纺织、冶金、矿业、船舶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EB5F3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数字化、智能化、高端化转型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E8910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存量升级，提升全球分工地位</w:t>
            </w:r>
          </w:p>
        </w:tc>
      </w:tr>
      <w:tr w14:paraId="60EB0E0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2D8EF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家电、食品、服装、家具、珠宝、玩具、制鞋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F9CCD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厚植品牌优势，推广数智化“链式改造”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30CBD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打造强大的“永不落幕”传统产业集群</w:t>
            </w:r>
          </w:p>
        </w:tc>
      </w:tr>
    </w:tbl>
    <w:p w14:paraId="044B7277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核心举措：实施“人工智能+制造”专项行动，推动传统产业全链条升级，单个工人效率提升可达25%以上。</w:t>
      </w:r>
    </w:p>
    <w:p w14:paraId="3891AFD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jc w:val="both"/>
      </w:pPr>
    </w:p>
    <w:p w14:paraId="13DBB78E">
      <w:pPr>
        <w:spacing w:before="300" w:after="120" w:line="288" w:lineRule="auto"/>
        <w:ind w:left="0"/>
        <w:jc w:val="both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二、新兴产业（壮大支柱，锻造万亿级集群）</w:t>
      </w:r>
      <w:bookmarkEnd w:id="1"/>
    </w:p>
    <w:p w14:paraId="49D6DCA3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政府工作报告列出九大重点新兴产业，作为2026年发展核心：</w:t>
      </w:r>
    </w:p>
    <w:p w14:paraId="0FBFDE93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新能源</w:t>
      </w:r>
      <w:r>
        <w:rPr>
          <w:rFonts w:ascii="Arial" w:hAnsi="Arial" w:eastAsia="等线" w:cs="Arial"/>
          <w:sz w:val="22"/>
        </w:rPr>
        <w:t>：包括新能源汽车、新型储能、海上风电等，比亚迪、广汽埃安等项目总投资超520亿元</w:t>
      </w:r>
    </w:p>
    <w:p w14:paraId="55270C5B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新材料</w:t>
      </w:r>
      <w:r>
        <w:rPr>
          <w:rFonts w:ascii="Arial" w:hAnsi="Arial" w:eastAsia="等线" w:cs="Arial"/>
          <w:sz w:val="22"/>
        </w:rPr>
        <w:t>：突破半导体材料、高端合金材料等关键领域，为先进制造提供支撑</w:t>
      </w:r>
    </w:p>
    <w:p w14:paraId="41A0D29A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智能网联汽车</w:t>
      </w:r>
      <w:r>
        <w:rPr>
          <w:rFonts w:ascii="Arial" w:hAnsi="Arial" w:eastAsia="等线" w:cs="Arial"/>
          <w:sz w:val="22"/>
        </w:rPr>
        <w:t>：打造完整产业链，推动自动驾驶技术商业化应用</w:t>
      </w:r>
    </w:p>
    <w:p w14:paraId="7D2548BB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智能机器人</w:t>
      </w:r>
      <w:r>
        <w:rPr>
          <w:rFonts w:ascii="Arial" w:hAnsi="Arial" w:eastAsia="等线" w:cs="Arial"/>
          <w:sz w:val="22"/>
        </w:rPr>
        <w:t>：广东工业机器人产量连续多年居全国第一，全国每3台就有1台“广东造”</w:t>
      </w:r>
    </w:p>
    <w:p w14:paraId="4C760FC3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医药和医疗器械</w:t>
      </w:r>
      <w:r>
        <w:rPr>
          <w:rFonts w:ascii="Arial" w:hAnsi="Arial" w:eastAsia="等线" w:cs="Arial"/>
          <w:sz w:val="22"/>
        </w:rPr>
        <w:t>：布局珠海大健康、中山医疗器械产业园，总投资190亿元</w:t>
      </w:r>
    </w:p>
    <w:p w14:paraId="05976975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航空航天</w:t>
      </w:r>
      <w:r>
        <w:rPr>
          <w:rFonts w:ascii="Arial" w:hAnsi="Arial" w:eastAsia="等线" w:cs="Arial"/>
          <w:sz w:val="22"/>
        </w:rPr>
        <w:t>：发展商业航天、卫星应用等领域</w:t>
      </w:r>
    </w:p>
    <w:p w14:paraId="2BBA5A16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集成电路</w:t>
      </w:r>
      <w:r>
        <w:rPr>
          <w:rFonts w:ascii="Arial" w:hAnsi="Arial" w:eastAsia="等线" w:cs="Arial"/>
          <w:sz w:val="22"/>
        </w:rPr>
        <w:t>：推进深圳中芯国际12英寸芯片生产线（800亿元）、广州粤芯半导体三期（360亿元）等项目，夯实“广东强芯”工程</w:t>
      </w:r>
    </w:p>
    <w:p w14:paraId="45428BF9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低空经济</w:t>
      </w:r>
      <w:r>
        <w:rPr>
          <w:rFonts w:ascii="Arial" w:hAnsi="Arial" w:eastAsia="等线" w:cs="Arial"/>
          <w:sz w:val="22"/>
        </w:rPr>
        <w:t>：广东坐拥全国超30%的产业链企业，在全球无人机市场占据重要地位</w:t>
      </w:r>
    </w:p>
    <w:p w14:paraId="5BAE25A9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生物制造</w:t>
      </w:r>
      <w:r>
        <w:rPr>
          <w:rFonts w:ascii="Arial" w:hAnsi="Arial" w:eastAsia="等线" w:cs="Arial"/>
          <w:sz w:val="22"/>
        </w:rPr>
        <w:t>：发展合成生物学、生物基材料等前沿领域</w:t>
      </w:r>
    </w:p>
    <w:p w14:paraId="4FE4DED5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核心目标：一体推进创新设施建设、技术研发、产品迭代，培育更多新兴支柱产业，锻造更多千亿元级、万亿元级新兴产业集群。</w:t>
      </w:r>
    </w:p>
    <w:p w14:paraId="477CCBB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jc w:val="both"/>
      </w:pPr>
    </w:p>
    <w:p w14:paraId="15D19D11">
      <w:pPr>
        <w:spacing w:before="300" w:after="120" w:line="288" w:lineRule="auto"/>
        <w:ind w:left="0"/>
        <w:jc w:val="both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三、未来产业（前瞻布局，抢占新赛道）</w:t>
      </w:r>
      <w:bookmarkEnd w:id="2"/>
    </w:p>
    <w:p w14:paraId="4E7D702F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政府工作报告明确七大未来产业重点细分领域，面向“十五五”规划：</w:t>
      </w:r>
    </w:p>
    <w:p w14:paraId="54D54238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第六代移动通信（6G）</w:t>
      </w:r>
      <w:r>
        <w:rPr>
          <w:rFonts w:ascii="Arial" w:hAnsi="Arial" w:eastAsia="等线" w:cs="Arial"/>
          <w:sz w:val="22"/>
        </w:rPr>
        <w:t>：布局网络技术研发与基础设施建设</w:t>
      </w:r>
    </w:p>
    <w:p w14:paraId="7762FF56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具身智能</w:t>
      </w:r>
      <w:r>
        <w:rPr>
          <w:rFonts w:ascii="Arial" w:hAnsi="Arial" w:eastAsia="等线" w:cs="Arial"/>
          <w:sz w:val="22"/>
        </w:rPr>
        <w:t>：2026年被视为从“0”到“1”跨越的关键窗口期，广东企业在CES展表现突出</w:t>
      </w:r>
    </w:p>
    <w:p w14:paraId="5349695D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细胞与基因治疗</w:t>
      </w:r>
      <w:r>
        <w:rPr>
          <w:rFonts w:ascii="Arial" w:hAnsi="Arial" w:eastAsia="等线" w:cs="Arial"/>
          <w:sz w:val="22"/>
        </w:rPr>
        <w:t>：打造深圳光明科学城、广州生物岛创新集群，总投资420亿元</w:t>
      </w:r>
    </w:p>
    <w:p w14:paraId="2548FF95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脑科学与脑机接口</w:t>
      </w:r>
      <w:r>
        <w:rPr>
          <w:rFonts w:ascii="Arial" w:hAnsi="Arial" w:eastAsia="等线" w:cs="Arial"/>
          <w:sz w:val="22"/>
        </w:rPr>
        <w:t>：抢占生命科学前沿高地</w:t>
      </w:r>
    </w:p>
    <w:p w14:paraId="3E57F356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氢能及先进核能</w:t>
      </w:r>
      <w:r>
        <w:rPr>
          <w:rFonts w:ascii="Arial" w:hAnsi="Arial" w:eastAsia="等线" w:cs="Arial"/>
          <w:sz w:val="22"/>
        </w:rPr>
        <w:t>：构建未来能源体系</w:t>
      </w:r>
    </w:p>
    <w:p w14:paraId="16812AC8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深海探测</w:t>
      </w:r>
      <w:r>
        <w:rPr>
          <w:rFonts w:ascii="Arial" w:hAnsi="Arial" w:eastAsia="等线" w:cs="Arial"/>
          <w:sz w:val="22"/>
        </w:rPr>
        <w:t>：发展海洋经济与深海开发项目，总投资680亿元</w:t>
      </w:r>
    </w:p>
    <w:p w14:paraId="4EF1157F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量子科技</w:t>
      </w:r>
      <w:r>
        <w:rPr>
          <w:rFonts w:ascii="Arial" w:hAnsi="Arial" w:eastAsia="等线" w:cs="Arial"/>
          <w:sz w:val="22"/>
        </w:rPr>
        <w:t>：布局量子计算、量子通信等领域</w:t>
      </w:r>
    </w:p>
    <w:p w14:paraId="1A12A02E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核心策略：按照“集中力量办大事”原则，重点保障人工智能终端、具身智能机器人、固态电池等新赛道产业和项目，分行业、分领域、分批次更新发布新赛道指引。</w:t>
      </w:r>
    </w:p>
    <w:p w14:paraId="1961BFE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jc w:val="both"/>
      </w:pPr>
    </w:p>
    <w:p w14:paraId="602B24BB">
      <w:pPr>
        <w:spacing w:before="300" w:after="120" w:line="288" w:lineRule="auto"/>
        <w:ind w:left="0"/>
        <w:jc w:val="both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四、高质量发展报告补充重点</w:t>
      </w:r>
      <w:bookmarkEnd w:id="3"/>
    </w:p>
    <w:p w14:paraId="7A64C3C5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《2026广东省高质量发展态势与“十五五”战略前瞻分析报告》进一步明确三大方向：</w:t>
      </w:r>
    </w:p>
    <w:p w14:paraId="642B5DDC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产业焕新</w:t>
      </w:r>
      <w:r>
        <w:rPr>
          <w:rFonts w:ascii="Arial" w:hAnsi="Arial" w:eastAsia="等线" w:cs="Arial"/>
          <w:sz w:val="22"/>
        </w:rPr>
        <w:t>：全面拥抱“人工智能+”，推动家电、服装等传统产业全链条AI赋能，实现从研发设计到全球营销的深度转型</w:t>
      </w:r>
    </w:p>
    <w:p w14:paraId="7A6AB9E8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动能转换</w:t>
      </w:r>
      <w:r>
        <w:rPr>
          <w:rFonts w:ascii="Arial" w:hAnsi="Arial" w:eastAsia="等线" w:cs="Arial"/>
          <w:sz w:val="22"/>
        </w:rPr>
        <w:t>：强化鹏城实验室、广州实验室等平台作用，打通科技成果转化“最后一公里”，发展耐心资本与科技金融</w:t>
      </w:r>
    </w:p>
    <w:p w14:paraId="2DF6F193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b/>
          <w:sz w:val="22"/>
        </w:rPr>
        <w:t>空间拓展</w:t>
      </w:r>
      <w:r>
        <w:rPr>
          <w:rFonts w:ascii="Arial" w:hAnsi="Arial" w:eastAsia="等线" w:cs="Arial"/>
          <w:sz w:val="22"/>
        </w:rPr>
        <w:t>：布局53个新赛道（围绕智能链接、生物融合、先进制造、空间拓展、未来能源、品质生活六大领域），力争5年内培育形成3个以上万亿级赛道</w:t>
      </w:r>
    </w:p>
    <w:p w14:paraId="2E35C87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jc w:val="both"/>
      </w:pPr>
    </w:p>
    <w:p w14:paraId="2E02F0C3">
      <w:pPr>
        <w:spacing w:before="300" w:after="120" w:line="288" w:lineRule="auto"/>
        <w:ind w:left="0"/>
        <w:jc w:val="both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五、产业发展总体格局</w:t>
      </w:r>
      <w:bookmarkEnd w:id="4"/>
    </w:p>
    <w:p w14:paraId="609BFD15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广东构建现代化产业体系遵循“三重奏”逻辑：</w:t>
      </w:r>
    </w:p>
    <w:p w14:paraId="5547A8B5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sz w:val="22"/>
        </w:rPr>
        <w:t>传统产业“筑基”：占规模以上制造业增加值比重超七成，是基本盘</w:t>
      </w:r>
    </w:p>
    <w:p w14:paraId="11249691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sz w:val="22"/>
        </w:rPr>
        <w:t>新兴产业“顶梁”：九大领域加速成长，已形成超高清视频等10个万亿级产业集群</w:t>
      </w:r>
    </w:p>
    <w:p w14:paraId="4E4721AF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both"/>
      </w:pPr>
      <w:r>
        <w:rPr>
          <w:rFonts w:ascii="Arial" w:hAnsi="Arial" w:eastAsia="等线" w:cs="Arial"/>
          <w:sz w:val="22"/>
        </w:rPr>
        <w:t>未来产业“领航”：七大前沿领域提前布局，为“十五五”期间产业升级储备新动能</w:t>
      </w:r>
    </w:p>
    <w:p w14:paraId="32BE62B8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核心战略：坚持实体经济为本、制造业当家，加快构建以先进制造业为骨干、具有广东特点和广东优势、具有强大国际竞争力的现代化产业体系。</w:t>
      </w:r>
    </w:p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87" w:line="275" w:lineRule="auto"/>
        <w:jc w:val="both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Guangdong 2026 Government Work Report: Building a Modern Industrial System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87" w:line="275" w:lineRule="auto"/>
        <w:jc w:val="both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The Guangdong Provincial 2026 Government Work Report outlines key deployments for high-quality development, explicitly defining a modern industrial system characterized by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"traditional industries as the foundation, emerging industries as the leaders, and future industries as the strategic layout."</w:t>
      </w:r>
      <w:r>
        <w:rPr>
          <w:rFonts w:ascii="Google Sans" w:hAnsi="Google Sans" w:eastAsia="Google Sans" w:cs="Google Sans"/>
          <w:color w:val="1F1F1F"/>
          <w:rtl w:val="0"/>
        </w:rPr>
        <w:t xml:space="preserve"> This structure aims to create a synergistic development pattern across three tiers of industry. Below is the comprehensive industrial landscape of key developments and future layouts:</w:t>
      </w:r>
    </w:p>
    <w:p w14:paraId="00000003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7" w:after="120" w:line="275" w:lineRule="auto"/>
        <w:jc w:val="both"/>
        <w:rPr>
          <w:rFonts w:ascii="Google Sans" w:hAnsi="Google Sans" w:eastAsia="Google Sans" w:cs="Google Sans"/>
          <w:color w:val="1F1F1F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I. Traditional Industries (Optimization and Upgrading: Creating "Evergreen" Clusters)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87" w:line="275" w:lineRule="auto"/>
        <w:jc w:val="both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The report clarifies that traditional industries account for over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70%</w:t>
      </w:r>
      <w:r>
        <w:rPr>
          <w:rFonts w:ascii="Google Sans" w:hAnsi="Google Sans" w:eastAsia="Google Sans" w:cs="Google Sans"/>
          <w:color w:val="1F1F1F"/>
          <w:rtl w:val="0"/>
        </w:rPr>
        <w:t xml:space="preserve"> of the value-added of manufacturing enterprises above designated size, forming the bedrock of the "Manufacturing as the Mainstay" strategy.</w:t>
      </w:r>
    </w:p>
    <w:tbl>
      <w:tblPr>
        <w:tblStyle w:val="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DDA9CC7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jc w:val="both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  <w:rtl w:val="0"/>
              </w:rPr>
              <w:t>Key Fields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jc w:val="both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  <w:rtl w:val="0"/>
              </w:rPr>
              <w:t>Upgrade Direction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jc w:val="both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  <w:rtl w:val="0"/>
              </w:rPr>
              <w:t>Objectives</w:t>
            </w:r>
          </w:p>
        </w:tc>
      </w:tr>
      <w:tr w14:paraId="7096E179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jc w:val="both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  <w:rtl w:val="0"/>
              </w:rPr>
              <w:t>Electronics, Machinery, Chemicals, Light Industry, Building Materials, Textiles, Metallurgy, Mining, Shipbuilding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jc w:val="both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  <w:rtl w:val="0"/>
              </w:rPr>
              <w:t>Digital, intelligent, and high-end transformation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jc w:val="both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  <w:rtl w:val="0"/>
              </w:rPr>
              <w:t>Stock optimization; elevating position in the global division of labor</w:t>
            </w:r>
          </w:p>
        </w:tc>
      </w:tr>
      <w:tr w14:paraId="6182D0E9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jc w:val="both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  <w:rtl w:val="0"/>
              </w:rPr>
              <w:t>Home Appliances, Food, Apparel, Furniture, Jewelry, Toys, Footwear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jc w:val="both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  <w:rtl w:val="0"/>
              </w:rPr>
              <w:t>Strengthening brand advantages; promoting "chain-based" digital transformation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jc w:val="both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  <w:rtl w:val="0"/>
              </w:rPr>
              <w:t>Cultivating powerful and "ever-lasting" traditional industrial clusters</w:t>
            </w:r>
          </w:p>
        </w:tc>
      </w:tr>
    </w:tbl>
    <w:p w14:paraId="0000000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Core Initiative:</w:t>
      </w:r>
      <w:r>
        <w:rPr>
          <w:rFonts w:ascii="Google Sans" w:hAnsi="Google Sans" w:eastAsia="Google Sans" w:cs="Google Sans"/>
          <w:color w:val="1F1F1F"/>
          <w:rtl w:val="0"/>
        </w:rPr>
        <w:t xml:space="preserve"> Implementation of the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"Artificial Intelligence + Manufacturing"</w:t>
      </w:r>
      <w:r>
        <w:rPr>
          <w:rFonts w:ascii="Google Sans" w:hAnsi="Google Sans" w:eastAsia="Google Sans" w:cs="Google Sans"/>
          <w:color w:val="1F1F1F"/>
          <w:rtl w:val="0"/>
        </w:rPr>
        <w:t xml:space="preserve"> special action plan to drive full-chain upgrades. This aims to increase individual worker productivity by over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25%</w:t>
      </w:r>
      <w:r>
        <w:rPr>
          <w:rFonts w:ascii="Google Sans" w:hAnsi="Google Sans" w:eastAsia="Google Sans" w:cs="Google Sans"/>
          <w:color w:val="1F1F1F"/>
          <w:rtl w:val="0"/>
        </w:rPr>
        <w:t>.</w:t>
      </w:r>
    </w:p>
    <w:p w14:paraId="0000000F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7" w:after="120" w:line="275" w:lineRule="auto"/>
        <w:jc w:val="both"/>
        <w:rPr>
          <w:rFonts w:ascii="Google Sans" w:hAnsi="Google Sans" w:eastAsia="Google Sans" w:cs="Google Sans"/>
          <w:color w:val="1F1F1F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II. Emerging Industries (Strengthening Pillars: Forging Trillion-Yuan Clusters)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87" w:line="275" w:lineRule="auto"/>
        <w:jc w:val="both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The report identifies nine priority emerging industries as the core drivers for 2026:</w:t>
      </w:r>
    </w:p>
    <w:p w14:paraId="0000001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New Energy:</w:t>
      </w:r>
      <w:r>
        <w:rPr>
          <w:rFonts w:ascii="Google Sans" w:hAnsi="Google Sans" w:eastAsia="Google Sans" w:cs="Google Sans"/>
          <w:color w:val="1F1F1F"/>
          <w:rtl w:val="0"/>
        </w:rPr>
        <w:t xml:space="preserve"> Including NEVs, new energy storage, and offshore wind power. Total investment in projects like BYD and GAC Aion exceeds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52 billion RMB</w:t>
      </w:r>
      <w:r>
        <w:rPr>
          <w:rFonts w:ascii="Google Sans" w:hAnsi="Google Sans" w:eastAsia="Google Sans" w:cs="Google Sans"/>
          <w:color w:val="1F1F1F"/>
          <w:rtl w:val="0"/>
        </w:rPr>
        <w:t>.</w:t>
      </w:r>
    </w:p>
    <w:p w14:paraId="0000001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New Materials:</w:t>
      </w:r>
      <w:r>
        <w:rPr>
          <w:rFonts w:ascii="Google Sans" w:hAnsi="Google Sans" w:eastAsia="Google Sans" w:cs="Google Sans"/>
          <w:color w:val="1F1F1F"/>
          <w:rtl w:val="0"/>
        </w:rPr>
        <w:t xml:space="preserve"> Breakthroughs in semiconductor materials and high-end alloys to support advanced manufacturing.</w:t>
      </w:r>
    </w:p>
    <w:p w14:paraId="00000013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Intelligent Connected Vehicles (ICV):</w:t>
      </w:r>
      <w:r>
        <w:rPr>
          <w:rFonts w:ascii="Google Sans" w:hAnsi="Google Sans" w:eastAsia="Google Sans" w:cs="Google Sans"/>
          <w:color w:val="1F1F1F"/>
          <w:rtl w:val="0"/>
        </w:rPr>
        <w:t xml:space="preserve"> Building a complete supply chain and promoting the commercial application of autonomous driving technology.</w:t>
      </w:r>
    </w:p>
    <w:p w14:paraId="0000001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Intelligent Robotics:</w:t>
      </w:r>
      <w:r>
        <w:rPr>
          <w:rFonts w:ascii="Google Sans" w:hAnsi="Google Sans" w:eastAsia="Google Sans" w:cs="Google Sans"/>
          <w:color w:val="1F1F1F"/>
          <w:rtl w:val="0"/>
        </w:rPr>
        <w:t xml:space="preserve"> Guangdong’s industrial robot output has ranked first in China for years;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one out of every three</w:t>
      </w:r>
      <w:r>
        <w:rPr>
          <w:rFonts w:ascii="Google Sans" w:hAnsi="Google Sans" w:eastAsia="Google Sans" w:cs="Google Sans"/>
          <w:color w:val="1F1F1F"/>
          <w:rtl w:val="0"/>
        </w:rPr>
        <w:t xml:space="preserve"> robots in China is "Made in Guangdong."</w:t>
      </w:r>
    </w:p>
    <w:p w14:paraId="0000001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Pharmaceuticals &amp; Medical Devices:</w:t>
      </w:r>
      <w:r>
        <w:rPr>
          <w:rFonts w:ascii="Google Sans" w:hAnsi="Google Sans" w:eastAsia="Google Sans" w:cs="Google Sans"/>
          <w:color w:val="1F1F1F"/>
          <w:rtl w:val="0"/>
        </w:rPr>
        <w:t xml:space="preserve"> Development of the Zhuhai Big Health and Zhongshan Medical Device industrial parks, with a total investment of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19 billion RMB</w:t>
      </w:r>
      <w:r>
        <w:rPr>
          <w:rFonts w:ascii="Google Sans" w:hAnsi="Google Sans" w:eastAsia="Google Sans" w:cs="Google Sans"/>
          <w:color w:val="1F1F1F"/>
          <w:rtl w:val="0"/>
        </w:rPr>
        <w:t>.</w:t>
      </w:r>
    </w:p>
    <w:p w14:paraId="0000001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Aerospace:</w:t>
      </w:r>
      <w:r>
        <w:rPr>
          <w:rFonts w:ascii="Google Sans" w:hAnsi="Google Sans" w:eastAsia="Google Sans" w:cs="Google Sans"/>
          <w:color w:val="1F1F1F"/>
          <w:rtl w:val="0"/>
        </w:rPr>
        <w:t xml:space="preserve"> Development of commercial spaceflight and satellite applications.</w:t>
      </w:r>
    </w:p>
    <w:p w14:paraId="00000017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Integrated Circuits (IC):</w:t>
      </w:r>
      <w:r>
        <w:rPr>
          <w:rFonts w:ascii="Google Sans" w:hAnsi="Google Sans" w:eastAsia="Google Sans" w:cs="Google Sans"/>
          <w:color w:val="1F1F1F"/>
          <w:rtl w:val="0"/>
        </w:rPr>
        <w:t xml:space="preserve"> Advancing the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80-billion RMB</w:t>
      </w:r>
      <w:r>
        <w:rPr>
          <w:rFonts w:ascii="Google Sans" w:hAnsi="Google Sans" w:eastAsia="Google Sans" w:cs="Google Sans"/>
          <w:color w:val="1F1F1F"/>
          <w:rtl w:val="0"/>
        </w:rPr>
        <w:t xml:space="preserve"> SMIC 12-inch chip line in Shenzhen and the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36-billion RMB</w:t>
      </w:r>
      <w:r>
        <w:rPr>
          <w:rFonts w:ascii="Google Sans" w:hAnsi="Google Sans" w:eastAsia="Google Sans" w:cs="Google Sans"/>
          <w:color w:val="1F1F1F"/>
          <w:rtl w:val="0"/>
        </w:rPr>
        <w:t xml:space="preserve"> Yuexin Semiconductor Phase III in Guangzhou to solidify the "Guangdong Strong Chip" project.</w:t>
      </w:r>
    </w:p>
    <w:p w14:paraId="00000018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Low-Altitude Economy:</w:t>
      </w:r>
      <w:r>
        <w:rPr>
          <w:rFonts w:ascii="Google Sans" w:hAnsi="Google Sans" w:eastAsia="Google Sans" w:cs="Google Sans"/>
          <w:color w:val="1F1F1F"/>
          <w:rtl w:val="0"/>
        </w:rPr>
        <w:t xml:space="preserve"> Guangdong hosts over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30%</w:t>
      </w:r>
      <w:r>
        <w:rPr>
          <w:rFonts w:ascii="Google Sans" w:hAnsi="Google Sans" w:eastAsia="Google Sans" w:cs="Google Sans"/>
          <w:color w:val="1F1F1F"/>
          <w:rtl w:val="0"/>
        </w:rPr>
        <w:t xml:space="preserve"> of China’s supply chain enterprises and holds a dominant position in the global drone market.</w:t>
      </w:r>
    </w:p>
    <w:p w14:paraId="00000019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Biomanufacturing:</w:t>
      </w:r>
      <w:r>
        <w:rPr>
          <w:rFonts w:ascii="Google Sans" w:hAnsi="Google Sans" w:eastAsia="Google Sans" w:cs="Google Sans"/>
          <w:color w:val="1F1F1F"/>
          <w:rtl w:val="0"/>
        </w:rPr>
        <w:t xml:space="preserve"> Development of synthetic biology, bio-based materials, and other frontier fields.</w:t>
      </w:r>
    </w:p>
    <w:p w14:paraId="0000001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Core Goal:</w:t>
      </w:r>
      <w:r>
        <w:rPr>
          <w:rFonts w:ascii="Google Sans" w:hAnsi="Google Sans" w:eastAsia="Google Sans" w:cs="Google Sans"/>
          <w:color w:val="1F1F1F"/>
          <w:rtl w:val="0"/>
        </w:rPr>
        <w:t xml:space="preserve"> Simultaneously advance innovation facilities, R&amp;D, and product iteration to cultivate more pillar industries and forge additional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100-billion</w:t>
      </w:r>
      <w:r>
        <w:rPr>
          <w:rFonts w:ascii="Google Sans" w:hAnsi="Google Sans" w:eastAsia="Google Sans" w:cs="Google Sans"/>
          <w:color w:val="1F1F1F"/>
          <w:rtl w:val="0"/>
        </w:rPr>
        <w:t xml:space="preserve"> and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trillion-yuan</w:t>
      </w:r>
      <w:r>
        <w:rPr>
          <w:rFonts w:ascii="Google Sans" w:hAnsi="Google Sans" w:eastAsia="Google Sans" w:cs="Google Sans"/>
          <w:color w:val="1F1F1F"/>
          <w:rtl w:val="0"/>
        </w:rPr>
        <w:t xml:space="preserve"> emerging industrial clusters.</w:t>
      </w:r>
    </w:p>
    <w:p w14:paraId="0000001B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7" w:after="120" w:line="275" w:lineRule="auto"/>
        <w:jc w:val="both"/>
        <w:rPr>
          <w:rFonts w:ascii="Google Sans" w:hAnsi="Google Sans" w:eastAsia="Google Sans" w:cs="Google Sans"/>
          <w:color w:val="1F1F1F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III. Future Industries (Forward-Looking Layout: Seizing New Tracks)</w:t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87" w:line="275" w:lineRule="auto"/>
        <w:jc w:val="both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The report specifies seven priority sub-sectors for future industries, targeting the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"15th Five-Year Plan"</w:t>
      </w:r>
      <w:r>
        <w:rPr>
          <w:rFonts w:ascii="Google Sans" w:hAnsi="Google Sans" w:eastAsia="Google Sans" w:cs="Google Sans"/>
          <w:color w:val="1F1F1F"/>
          <w:rtl w:val="0"/>
        </w:rPr>
        <w:t xml:space="preserve"> (2026–2030):</w:t>
      </w:r>
    </w:p>
    <w:p w14:paraId="0000001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6G (Sixth-Generation Mobile Communications):</w:t>
      </w:r>
      <w:r>
        <w:rPr>
          <w:rFonts w:ascii="Google Sans" w:hAnsi="Google Sans" w:eastAsia="Google Sans" w:cs="Google Sans"/>
          <w:color w:val="1F1F1F"/>
          <w:rtl w:val="0"/>
        </w:rPr>
        <w:t xml:space="preserve"> R&amp;D in network technology and infrastructure layout.</w:t>
      </w:r>
    </w:p>
    <w:p w14:paraId="0000001E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Embodied AI:</w:t>
      </w:r>
      <w:r>
        <w:rPr>
          <w:rFonts w:ascii="Google Sans" w:hAnsi="Google Sans" w:eastAsia="Google Sans" w:cs="Google Sans"/>
          <w:color w:val="1F1F1F"/>
          <w:rtl w:val="0"/>
        </w:rPr>
        <w:t xml:space="preserve"> 2026 is viewed as the critical window for the "0 to 1" breakthrough; Guangdong enterprises showed prominent performance at CES.</w:t>
      </w:r>
    </w:p>
    <w:p w14:paraId="0000001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Cell and Gene Therapy:</w:t>
      </w:r>
      <w:r>
        <w:rPr>
          <w:rFonts w:ascii="Google Sans" w:hAnsi="Google Sans" w:eastAsia="Google Sans" w:cs="Google Sans"/>
          <w:color w:val="1F1F1F"/>
          <w:rtl w:val="0"/>
        </w:rPr>
        <w:t xml:space="preserve"> Creating innovation clusters in Shenzhen Guangming Science City and Guangzhou Bio-island, with a total investment of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42 billion RMB</w:t>
      </w:r>
      <w:r>
        <w:rPr>
          <w:rFonts w:ascii="Google Sans" w:hAnsi="Google Sans" w:eastAsia="Google Sans" w:cs="Google Sans"/>
          <w:color w:val="1F1F1F"/>
          <w:rtl w:val="0"/>
        </w:rPr>
        <w:t>.</w:t>
      </w:r>
    </w:p>
    <w:p w14:paraId="0000002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Brain Science and Brain-Computer Interface (BCI):</w:t>
      </w:r>
      <w:r>
        <w:rPr>
          <w:rFonts w:ascii="Google Sans" w:hAnsi="Google Sans" w:eastAsia="Google Sans" w:cs="Google Sans"/>
          <w:color w:val="1F1F1F"/>
          <w:rtl w:val="0"/>
        </w:rPr>
        <w:t xml:space="preserve"> Capturing the frontiers of life sciences.</w:t>
      </w:r>
    </w:p>
    <w:p w14:paraId="00000021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Hydrogen &amp; Advanced Nuclear Energy:</w:t>
      </w:r>
      <w:r>
        <w:rPr>
          <w:rFonts w:ascii="Google Sans" w:hAnsi="Google Sans" w:eastAsia="Google Sans" w:cs="Google Sans"/>
          <w:color w:val="1F1F1F"/>
          <w:rtl w:val="0"/>
        </w:rPr>
        <w:t xml:space="preserve"> Constructing a future energy system.</w:t>
      </w:r>
    </w:p>
    <w:p w14:paraId="00000022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Deep-Sea Exploration:</w:t>
      </w:r>
      <w:r>
        <w:rPr>
          <w:rFonts w:ascii="Google Sans" w:hAnsi="Google Sans" w:eastAsia="Google Sans" w:cs="Google Sans"/>
          <w:color w:val="1F1F1F"/>
          <w:rtl w:val="0"/>
        </w:rPr>
        <w:t xml:space="preserve"> Developing the marine economy and deep-sea exploration projects, with a total investment of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68 billion RMB</w:t>
      </w:r>
      <w:r>
        <w:rPr>
          <w:rFonts w:ascii="Google Sans" w:hAnsi="Google Sans" w:eastAsia="Google Sans" w:cs="Google Sans"/>
          <w:color w:val="1F1F1F"/>
          <w:rtl w:val="0"/>
        </w:rPr>
        <w:t>.</w:t>
      </w:r>
    </w:p>
    <w:p w14:paraId="0000002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Quantum Technology:</w:t>
      </w:r>
      <w:r>
        <w:rPr>
          <w:rFonts w:ascii="Google Sans" w:hAnsi="Google Sans" w:eastAsia="Google Sans" w:cs="Google Sans"/>
          <w:color w:val="1F1F1F"/>
          <w:rtl w:val="0"/>
        </w:rPr>
        <w:t xml:space="preserve"> Layouts in quantum computing and quantum communications.</w:t>
      </w:r>
    </w:p>
    <w:p w14:paraId="0000002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Core Strategy:</w:t>
      </w:r>
      <w:r>
        <w:rPr>
          <w:rFonts w:ascii="Google Sans" w:hAnsi="Google Sans" w:eastAsia="Google Sans" w:cs="Google Sans"/>
          <w:color w:val="1F1F1F"/>
          <w:rtl w:val="0"/>
        </w:rPr>
        <w:t xml:space="preserve"> Adhering to the principle of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"concentrating resources on major tasks,"</w:t>
      </w:r>
      <w:r>
        <w:rPr>
          <w:rFonts w:ascii="Google Sans" w:hAnsi="Google Sans" w:eastAsia="Google Sans" w:cs="Google Sans"/>
          <w:color w:val="1F1F1F"/>
          <w:rtl w:val="0"/>
        </w:rPr>
        <w:t xml:space="preserve"> the province will prioritize support for new tracks such as AI terminals, embodied robots, and solid-state batteries, releasing "New Track Guidelines" by industry and sector in batches.</w:t>
      </w:r>
    </w:p>
    <w:p w14:paraId="00000025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7" w:after="120" w:line="275" w:lineRule="auto"/>
        <w:jc w:val="both"/>
        <w:rPr>
          <w:rFonts w:ascii="Google Sans" w:hAnsi="Google Sans" w:eastAsia="Google Sans" w:cs="Google Sans"/>
          <w:color w:val="1F1F1F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IV. High-Quality Development Report: Key Supplements</w:t>
      </w: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87" w:line="275" w:lineRule="auto"/>
        <w:jc w:val="both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The </w:t>
      </w:r>
      <w:r>
        <w:rPr>
          <w:rFonts w:ascii="Google Sans" w:hAnsi="Google Sans" w:eastAsia="Google Sans" w:cs="Google Sans"/>
          <w:i/>
          <w:iCs/>
          <w:color w:val="1F1F1F"/>
          <w:rtl w:val="0"/>
        </w:rPr>
        <w:t>2026 Guangdong High-Quality Development Trend and "15th Five-Year" Strategic Analysis Report</w:t>
      </w:r>
      <w:r>
        <w:rPr>
          <w:rFonts w:ascii="Google Sans" w:hAnsi="Google Sans" w:eastAsia="Google Sans" w:cs="Google Sans"/>
          <w:color w:val="1F1F1F"/>
          <w:rtl w:val="0"/>
        </w:rPr>
        <w:t xml:space="preserve"> further defines three directions:</w:t>
      </w:r>
    </w:p>
    <w:p w14:paraId="00000027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Industrial Renewal:</w:t>
      </w:r>
      <w:r>
        <w:rPr>
          <w:rFonts w:ascii="Google Sans" w:hAnsi="Google Sans" w:eastAsia="Google Sans" w:cs="Google Sans"/>
          <w:color w:val="1F1F1F"/>
          <w:rtl w:val="0"/>
        </w:rPr>
        <w:t xml:space="preserve"> Fully embracing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"AI+"</w:t>
      </w:r>
      <w:r>
        <w:rPr>
          <w:rFonts w:ascii="Google Sans" w:hAnsi="Google Sans" w:eastAsia="Google Sans" w:cs="Google Sans"/>
          <w:color w:val="1F1F1F"/>
          <w:rtl w:val="0"/>
        </w:rPr>
        <w:t xml:space="preserve"> to empower traditional sectors like appliances and apparel across the entire chain—from R&amp;D and design to global marketing.</w:t>
      </w:r>
    </w:p>
    <w:p w14:paraId="00000028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Kinetic Energy Conversion:</w:t>
      </w:r>
      <w:r>
        <w:rPr>
          <w:rFonts w:ascii="Google Sans" w:hAnsi="Google Sans" w:eastAsia="Google Sans" w:cs="Google Sans"/>
          <w:color w:val="1F1F1F"/>
          <w:rtl w:val="0"/>
        </w:rPr>
        <w:t xml:space="preserve"> Strengthening the role of platforms like Peng Cheng Laboratory and Guangzhou Laboratory to bridge the "last mile" of scientific achievement commercialization. Developing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"patient capital"</w:t>
      </w:r>
      <w:r>
        <w:rPr>
          <w:rFonts w:ascii="Google Sans" w:hAnsi="Google Sans" w:eastAsia="Google Sans" w:cs="Google Sans"/>
          <w:color w:val="1F1F1F"/>
          <w:rtl w:val="0"/>
        </w:rPr>
        <w:t xml:space="preserve"> and technology finance.</w:t>
      </w:r>
    </w:p>
    <w:p w14:paraId="00000029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Spatial Expansion:</w:t>
      </w:r>
      <w:r>
        <w:rPr>
          <w:rFonts w:ascii="Google Sans" w:hAnsi="Google Sans" w:eastAsia="Google Sans" w:cs="Google Sans"/>
          <w:color w:val="1F1F1F"/>
          <w:rtl w:val="0"/>
        </w:rPr>
        <w:t xml:space="preserve"> Mapping out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53 new tracks</w:t>
      </w:r>
      <w:r>
        <w:rPr>
          <w:rFonts w:ascii="Google Sans" w:hAnsi="Google Sans" w:eastAsia="Google Sans" w:cs="Google Sans"/>
          <w:color w:val="1F1F1F"/>
          <w:rtl w:val="0"/>
        </w:rPr>
        <w:t xml:space="preserve"> (around six domains: intelligent links, bio-fusion, advanced manufacturing, spatial expansion, future energy, and quality life), aiming to cultivate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3+ trillion-yuan tracks</w:t>
      </w:r>
      <w:r>
        <w:rPr>
          <w:rFonts w:ascii="Google Sans" w:hAnsi="Google Sans" w:eastAsia="Google Sans" w:cs="Google Sans"/>
          <w:color w:val="1F1F1F"/>
          <w:rtl w:val="0"/>
        </w:rPr>
        <w:t xml:space="preserve"> within five years.</w:t>
      </w:r>
    </w:p>
    <w:p w14:paraId="0000002A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7" w:after="120" w:line="275" w:lineRule="auto"/>
        <w:jc w:val="both"/>
        <w:rPr>
          <w:rFonts w:ascii="Google Sans" w:hAnsi="Google Sans" w:eastAsia="Google Sans" w:cs="Google Sans"/>
          <w:color w:val="1F1F1F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V. Overall Industrial Development Pattern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87" w:line="275" w:lineRule="auto"/>
        <w:jc w:val="both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Guangdong's construction of a modern industrial system follows a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"Trilogy"</w:t>
      </w:r>
      <w:r>
        <w:rPr>
          <w:rFonts w:ascii="Google Sans" w:hAnsi="Google Sans" w:eastAsia="Google Sans" w:cs="Google Sans"/>
          <w:color w:val="1F1F1F"/>
          <w:rtl w:val="0"/>
        </w:rPr>
        <w:t xml:space="preserve"> logic:</w:t>
      </w:r>
    </w:p>
    <w:p w14:paraId="0000002C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Traditional Industries "The Foundation":</w:t>
      </w:r>
      <w:r>
        <w:rPr>
          <w:rFonts w:ascii="Google Sans" w:hAnsi="Google Sans" w:eastAsia="Google Sans" w:cs="Google Sans"/>
          <w:color w:val="1F1F1F"/>
          <w:rtl w:val="0"/>
        </w:rPr>
        <w:t xml:space="preserve"> Accounting for 70%+ of the manufacturing base; they remain the bedrock.</w:t>
      </w:r>
    </w:p>
    <w:p w14:paraId="0000002D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Emerging Industries "The Pillars":</w:t>
      </w:r>
      <w:r>
        <w:rPr>
          <w:rFonts w:ascii="Google Sans" w:hAnsi="Google Sans" w:eastAsia="Google Sans" w:cs="Google Sans"/>
          <w:color w:val="1F1F1F"/>
          <w:rtl w:val="0"/>
        </w:rPr>
        <w:t xml:space="preserve"> Nine major fields are accelerating;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10 trillion-yuan clusters</w:t>
      </w:r>
      <w:r>
        <w:rPr>
          <w:rFonts w:ascii="Google Sans" w:hAnsi="Google Sans" w:eastAsia="Google Sans" w:cs="Google Sans"/>
          <w:color w:val="1F1F1F"/>
          <w:rtl w:val="0"/>
        </w:rPr>
        <w:t xml:space="preserve"> (e.g., Ultra-HD Video) have already been formed.</w:t>
      </w:r>
    </w:p>
    <w:p w14:paraId="0000002E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Future Industries "The Pilot":</w:t>
      </w:r>
      <w:r>
        <w:rPr>
          <w:rFonts w:ascii="Google Sans" w:hAnsi="Google Sans" w:eastAsia="Google Sans" w:cs="Google Sans"/>
          <w:color w:val="1F1F1F"/>
          <w:rtl w:val="0"/>
        </w:rPr>
        <w:t xml:space="preserve"> Seven frontier fields are being strategically positioned to reserve new momentum for industrial upgrades during the "15th Five-Year Plan."</w:t>
      </w:r>
    </w:p>
    <w:p w14:paraId="0000002F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70" w:hanging="360"/>
        <w:jc w:val="both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Core Strategy:</w:t>
      </w:r>
      <w:r>
        <w:rPr>
          <w:rFonts w:ascii="Google Sans" w:hAnsi="Google Sans" w:eastAsia="Google Sans" w:cs="Google Sans"/>
          <w:color w:val="1F1F1F"/>
          <w:rtl w:val="0"/>
        </w:rPr>
        <w:t xml:space="preserve"> Persisting in the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"Entity Economy as the Origin"</w:t>
      </w:r>
      <w:r>
        <w:rPr>
          <w:rFonts w:ascii="Google Sans" w:hAnsi="Google Sans" w:eastAsia="Google Sans" w:cs="Google Sans"/>
          <w:color w:val="1F1F1F"/>
          <w:rtl w:val="0"/>
        </w:rPr>
        <w:t xml:space="preserve"> and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"Manufacturing as the Mainstay."</w:t>
      </w:r>
      <w:r>
        <w:rPr>
          <w:rFonts w:ascii="Google Sans" w:hAnsi="Google Sans" w:eastAsia="Google Sans" w:cs="Google Sans"/>
          <w:color w:val="1F1F1F"/>
          <w:rtl w:val="0"/>
        </w:rPr>
        <w:t xml:space="preserve"> Accelerating the construction of a modern industrial system with advanced manufacturing as the backbone, possessing unique Guangdong advantages and strong international competitiveness.</w:t>
      </w:r>
    </w:p>
    <w:p w14:paraId="10EFD7C9">
      <w:pPr>
        <w:spacing w:before="120" w:after="120" w:line="288" w:lineRule="auto"/>
        <w:ind w:left="0"/>
        <w:jc w:val="both"/>
      </w:pP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5F55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BE55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6C2D1"/>
    <w:multiLevelType w:val="multilevel"/>
    <w:tmpl w:val="9F76C2D1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DBB85E2"/>
    <w:multiLevelType w:val="multilevel"/>
    <w:tmpl w:val="BDBB85E2"/>
    <w:lvl w:ilvl="0" w:tentative="0">
      <w:start w:val="1"/>
      <w:numFmt w:val="decimal"/>
      <w:lvlText w:val="%1.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FDE724"/>
    <w:multiLevelType w:val="multilevel"/>
    <w:tmpl w:val="BFFDE724"/>
    <w:lvl w:ilvl="0" w:tentative="0">
      <w:start w:val="1"/>
      <w:numFmt w:val="decimal"/>
      <w:lvlText w:val="%1.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E7CE2A9B"/>
    <w:multiLevelType w:val="multilevel"/>
    <w:tmpl w:val="E7CE2A9B"/>
    <w:lvl w:ilvl="0" w:tentative="0">
      <w:start w:val="1"/>
      <w:numFmt w:val="decimal"/>
      <w:lvlText w:val="%1.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E7FFFD75"/>
    <w:multiLevelType w:val="singleLevel"/>
    <w:tmpl w:val="E7FFFD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6EF1CBE"/>
    <w:multiLevelType w:val="multilevel"/>
    <w:tmpl w:val="F6EF1CBE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F6F9AFDF"/>
    <w:multiLevelType w:val="multilevel"/>
    <w:tmpl w:val="F6F9AFDF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F9DF64B9"/>
    <w:multiLevelType w:val="singleLevel"/>
    <w:tmpl w:val="F9DF64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BFD84D0"/>
    <w:multiLevelType w:val="multilevel"/>
    <w:tmpl w:val="FBFD84D0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591EE299"/>
    <w:multiLevelType w:val="singleLevel"/>
    <w:tmpl w:val="591EE2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77DF802C"/>
    <w:multiLevelType w:val="multilevel"/>
    <w:tmpl w:val="77DF802C"/>
    <w:lvl w:ilvl="0" w:tentative="0">
      <w:start w:val="10"/>
      <w:numFmt w:val="decimal"/>
      <w:lvlText w:val="%1.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5"/>
  </w:num>
  <w:num w:numId="5">
    <w:abstractNumId w:val="2"/>
  </w:num>
  <w:num w:numId="6">
    <w:abstractNumId w:val="8"/>
  </w:num>
  <w:num w:numId="7">
    <w:abstractNumId w:val="10"/>
  </w:num>
  <w:num w:numId="8">
    <w:abstractNumId w:val="6"/>
  </w:num>
  <w:num w:numId="9">
    <w:abstractNumId w:val="3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EB32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_Style 10"/>
    <w:basedOn w:val="6"/>
    <w:uiPriority w:val="0"/>
  </w:style>
  <w:style w:type="table" w:customStyle="1" w:styleId="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Office_12.1.25201.25201_F1E327BC-269C-435d-A152-05C5408002CA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2026-04-14T12:19:00Z</dcterms:created>
  <dc:creator>Apache POI</dc:creator>
  <cp:lastModifiedBy>Brook</cp:lastModifiedBy>
  <dcterms:modified xsi:type="dcterms:W3CDTF">2026-04-14T12:37:45Z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8849E69FB9C85A5C99C4DD69846B2DE2_42</vt:lpwstr>
  </property>
</Properties>
</file>