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50FEB8">
      <w:pPr>
        <w:keepNext w:val="0"/>
        <w:keepLines w:val="0"/>
        <w:pageBreakBefore w:val="0"/>
        <w:widowControl w:val="0"/>
        <w:kinsoku/>
        <w:wordWrap/>
        <w:overflowPunct/>
        <w:topLinePunct w:val="0"/>
        <w:autoSpaceDE/>
        <w:autoSpaceDN/>
        <w:bidi w:val="0"/>
        <w:adjustRightInd/>
        <w:snapToGrid/>
        <w:spacing w:before="480" w:after="480" w:line="280" w:lineRule="exact"/>
        <w:ind w:left="0"/>
        <w:jc w:val="center"/>
        <w:textAlignment w:val="auto"/>
        <w:rPr>
          <w:sz w:val="28"/>
          <w:szCs w:val="28"/>
        </w:rPr>
      </w:pPr>
      <w:r>
        <w:rPr>
          <w:rFonts w:ascii="Arial" w:hAnsi="Arial" w:eastAsia="等线" w:cs="Arial"/>
          <w:b/>
          <w:sz w:val="28"/>
          <w:szCs w:val="28"/>
        </w:rPr>
        <w:t>广东省重点产业分析项目任务框架（传统+新兴+未来产业）</w:t>
      </w:r>
    </w:p>
    <w:p w14:paraId="1D324577">
      <w:pPr>
        <w:keepNext w:val="0"/>
        <w:keepLines w:val="0"/>
        <w:pageBreakBefore w:val="0"/>
        <w:widowControl w:val="0"/>
        <w:kinsoku/>
        <w:wordWrap/>
        <w:overflowPunct/>
        <w:topLinePunct w:val="0"/>
        <w:autoSpaceDE/>
        <w:autoSpaceDN/>
        <w:bidi w:val="0"/>
        <w:adjustRightInd/>
        <w:snapToGrid/>
        <w:spacing w:before="480" w:after="480" w:line="280" w:lineRule="exact"/>
        <w:ind w:left="0"/>
        <w:jc w:val="left"/>
        <w:textAlignment w:val="auto"/>
        <w:rPr>
          <w:rFonts w:ascii="Arial" w:hAnsi="Arial" w:eastAsia="等线" w:cs="Arial"/>
          <w:b/>
          <w:sz w:val="28"/>
          <w:szCs w:val="28"/>
        </w:rPr>
      </w:pPr>
      <w:bookmarkStart w:id="0" w:name="heading_0"/>
      <w:r>
        <w:rPr>
          <w:rFonts w:ascii="Arial" w:hAnsi="Arial" w:eastAsia="等线" w:cs="Arial"/>
          <w:b/>
          <w:sz w:val="28"/>
          <w:szCs w:val="28"/>
        </w:rPr>
        <w:t>一、项目总则</w:t>
      </w:r>
      <w:bookmarkEnd w:id="0"/>
    </w:p>
    <w:p w14:paraId="361B3039">
      <w:pPr>
        <w:keepNext w:val="0"/>
        <w:keepLines w:val="0"/>
        <w:pageBreakBefore w:val="0"/>
        <w:widowControl w:val="0"/>
        <w:kinsoku/>
        <w:wordWrap/>
        <w:overflowPunct/>
        <w:topLinePunct w:val="0"/>
        <w:autoSpaceDE/>
        <w:autoSpaceDN/>
        <w:bidi w:val="0"/>
        <w:adjustRightInd/>
        <w:snapToGrid/>
        <w:spacing w:before="480" w:after="480" w:line="280" w:lineRule="exact"/>
        <w:ind w:left="0"/>
        <w:jc w:val="left"/>
        <w:textAlignment w:val="auto"/>
        <w:rPr>
          <w:rFonts w:ascii="Arial" w:hAnsi="Arial" w:eastAsia="等线" w:cs="Arial"/>
          <w:b/>
          <w:sz w:val="28"/>
          <w:szCs w:val="28"/>
        </w:rPr>
      </w:pPr>
      <w:bookmarkStart w:id="1" w:name="heading_1"/>
      <w:r>
        <w:rPr>
          <w:rFonts w:ascii="Arial" w:hAnsi="Arial" w:eastAsia="等线" w:cs="Arial"/>
          <w:b/>
          <w:sz w:val="28"/>
          <w:szCs w:val="28"/>
        </w:rPr>
        <w:t>1.1 项目背景</w:t>
      </w:r>
      <w:bookmarkEnd w:id="1"/>
    </w:p>
    <w:p w14:paraId="38FF03C9">
      <w:pPr>
        <w:keepNext w:val="0"/>
        <w:keepLines w:val="0"/>
        <w:pageBreakBefore w:val="0"/>
        <w:widowControl w:val="0"/>
        <w:kinsoku/>
        <w:wordWrap/>
        <w:overflowPunct/>
        <w:topLinePunct w:val="0"/>
        <w:autoSpaceDE/>
        <w:autoSpaceDN/>
        <w:bidi w:val="0"/>
        <w:adjustRightInd/>
        <w:snapToGrid/>
        <w:spacing w:before="120" w:after="120" w:line="280" w:lineRule="exact"/>
        <w:ind w:left="0"/>
        <w:jc w:val="both"/>
        <w:textAlignment w:val="auto"/>
      </w:pPr>
      <w:r>
        <w:rPr>
          <w:rFonts w:ascii="Arial" w:hAnsi="Arial" w:eastAsia="等线" w:cs="Arial"/>
          <w:sz w:val="22"/>
        </w:rPr>
        <w:t>基于广东省2026年政府工作报告及高质量发展报告明确的三大重点产业（传统产业、新兴产业、未来产业），通过多平台数据挖掘与深度分析，全面掌握各产业在广东省内的发展现状、核心竞争力及政策支撑，为项目决策、产业布局优化提供数据支撑与专业分析依据。</w:t>
      </w:r>
    </w:p>
    <w:p w14:paraId="70EC7993">
      <w:pPr>
        <w:keepNext w:val="0"/>
        <w:keepLines w:val="0"/>
        <w:pageBreakBefore w:val="0"/>
        <w:widowControl w:val="0"/>
        <w:kinsoku/>
        <w:wordWrap/>
        <w:overflowPunct/>
        <w:topLinePunct w:val="0"/>
        <w:autoSpaceDE/>
        <w:autoSpaceDN/>
        <w:bidi w:val="0"/>
        <w:adjustRightInd/>
        <w:snapToGrid/>
        <w:spacing w:before="480" w:after="480" w:line="280" w:lineRule="exact"/>
        <w:ind w:left="0"/>
        <w:jc w:val="left"/>
        <w:textAlignment w:val="auto"/>
        <w:rPr>
          <w:rFonts w:ascii="Arial" w:hAnsi="Arial" w:eastAsia="等线" w:cs="Arial"/>
          <w:b/>
          <w:sz w:val="28"/>
          <w:szCs w:val="28"/>
        </w:rPr>
      </w:pPr>
      <w:bookmarkStart w:id="2" w:name="heading_2"/>
      <w:r>
        <w:rPr>
          <w:rFonts w:ascii="Arial" w:hAnsi="Arial" w:eastAsia="等线" w:cs="Arial"/>
          <w:b/>
          <w:sz w:val="28"/>
          <w:szCs w:val="28"/>
        </w:rPr>
        <w:t>1.2 核心目标</w:t>
      </w:r>
      <w:bookmarkEnd w:id="2"/>
    </w:p>
    <w:p w14:paraId="1AB3ACD9">
      <w:pPr>
        <w:keepNext w:val="0"/>
        <w:keepLines w:val="0"/>
        <w:pageBreakBefore w:val="0"/>
        <w:widowControl w:val="0"/>
        <w:numPr>
          <w:ilvl w:val="0"/>
          <w:numId w:val="1"/>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完成三大产业的全面画像（产业画像+人才画像），明确各产业在广东省的发展基础、规模及特点；</w:t>
      </w:r>
    </w:p>
    <w:p w14:paraId="5ABAB293">
      <w:pPr>
        <w:keepNext w:val="0"/>
        <w:keepLines w:val="0"/>
        <w:pageBreakBefore w:val="0"/>
        <w:widowControl w:val="0"/>
        <w:numPr>
          <w:ilvl w:val="0"/>
          <w:numId w:val="1"/>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基于相关理论基础，分析各产业集群的竞争优势，结合国内外对比，找准广东省产业的优势与差距；</w:t>
      </w:r>
    </w:p>
    <w:p w14:paraId="70D02A6E">
      <w:pPr>
        <w:keepNext w:val="0"/>
        <w:keepLines w:val="0"/>
        <w:pageBreakBefore w:val="0"/>
        <w:widowControl w:val="0"/>
        <w:numPr>
          <w:ilvl w:val="0"/>
          <w:numId w:val="1"/>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梳理广东省针对各产业的具体优惠政策，明确政策落地重点与适用场景；</w:t>
      </w:r>
    </w:p>
    <w:p w14:paraId="70F82DDB">
      <w:pPr>
        <w:keepNext w:val="0"/>
        <w:keepLines w:val="0"/>
        <w:pageBreakBefore w:val="0"/>
        <w:widowControl w:val="0"/>
        <w:numPr>
          <w:ilvl w:val="0"/>
          <w:numId w:val="1"/>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形成系统化、可落地的分析报告，为项目团队后续工作提供明确指引。</w:t>
      </w:r>
    </w:p>
    <w:p w14:paraId="4E390892">
      <w:pPr>
        <w:keepNext w:val="0"/>
        <w:keepLines w:val="0"/>
        <w:pageBreakBefore w:val="0"/>
        <w:widowControl w:val="0"/>
        <w:kinsoku/>
        <w:wordWrap/>
        <w:overflowPunct/>
        <w:topLinePunct w:val="0"/>
        <w:autoSpaceDE/>
        <w:autoSpaceDN/>
        <w:bidi w:val="0"/>
        <w:adjustRightInd/>
        <w:snapToGrid/>
        <w:spacing w:before="480" w:after="480" w:line="280" w:lineRule="exact"/>
        <w:ind w:left="0"/>
        <w:jc w:val="left"/>
        <w:textAlignment w:val="auto"/>
        <w:rPr>
          <w:rFonts w:ascii="Arial" w:hAnsi="Arial" w:eastAsia="等线" w:cs="Arial"/>
          <w:b/>
          <w:sz w:val="28"/>
          <w:szCs w:val="28"/>
        </w:rPr>
      </w:pPr>
      <w:bookmarkStart w:id="3" w:name="heading_3"/>
      <w:r>
        <w:rPr>
          <w:rFonts w:ascii="Arial" w:hAnsi="Arial" w:eastAsia="等线" w:cs="Arial"/>
          <w:b/>
          <w:sz w:val="28"/>
          <w:szCs w:val="28"/>
        </w:rPr>
        <w:t>1.3 适用范围</w:t>
      </w:r>
      <w:bookmarkEnd w:id="3"/>
    </w:p>
    <w:p w14:paraId="3C0FE754">
      <w:pPr>
        <w:keepNext w:val="0"/>
        <w:keepLines w:val="0"/>
        <w:pageBreakBefore w:val="0"/>
        <w:widowControl w:val="0"/>
        <w:kinsoku/>
        <w:wordWrap/>
        <w:overflowPunct/>
        <w:topLinePunct w:val="0"/>
        <w:autoSpaceDE/>
        <w:autoSpaceDN/>
        <w:bidi w:val="0"/>
        <w:adjustRightInd/>
        <w:snapToGrid/>
        <w:spacing w:before="120" w:after="120" w:line="280" w:lineRule="exact"/>
        <w:ind w:left="0"/>
        <w:jc w:val="both"/>
        <w:textAlignment w:val="auto"/>
      </w:pPr>
      <w:r>
        <w:rPr>
          <w:rFonts w:ascii="Arial" w:hAnsi="Arial" w:eastAsia="等线" w:cs="Arial"/>
          <w:sz w:val="22"/>
        </w:rPr>
        <w:t>项目团队所有参与本次产业分析的成员，覆盖传统产业、新兴产业、未来产业的全部细分领域（具体以广东省2026年政府相关报告明确的产业清单为准）。</w:t>
      </w:r>
    </w:p>
    <w:p w14:paraId="79644C94">
      <w:pPr>
        <w:keepNext w:val="0"/>
        <w:keepLines w:val="0"/>
        <w:pageBreakBefore w:val="0"/>
        <w:widowControl w:val="0"/>
        <w:kinsoku/>
        <w:wordWrap/>
        <w:overflowPunct/>
        <w:topLinePunct w:val="0"/>
        <w:autoSpaceDE/>
        <w:autoSpaceDN/>
        <w:bidi w:val="0"/>
        <w:adjustRightInd/>
        <w:snapToGrid/>
        <w:spacing w:before="480" w:after="480" w:line="280" w:lineRule="exact"/>
        <w:ind w:left="0"/>
        <w:jc w:val="left"/>
        <w:textAlignment w:val="auto"/>
        <w:rPr>
          <w:rFonts w:ascii="Arial" w:hAnsi="Arial" w:eastAsia="等线" w:cs="Arial"/>
          <w:b/>
          <w:sz w:val="28"/>
          <w:szCs w:val="28"/>
        </w:rPr>
      </w:pPr>
      <w:bookmarkStart w:id="4" w:name="heading_4"/>
      <w:r>
        <w:rPr>
          <w:rFonts w:ascii="Arial" w:hAnsi="Arial" w:eastAsia="等线" w:cs="Arial"/>
          <w:b/>
          <w:sz w:val="28"/>
          <w:szCs w:val="28"/>
        </w:rPr>
        <w:t>二、核心任务内容（分三大产业，逐产业推进）</w:t>
      </w:r>
      <w:bookmarkEnd w:id="4"/>
    </w:p>
    <w:p w14:paraId="709FA1AC">
      <w:pPr>
        <w:keepNext w:val="0"/>
        <w:keepLines w:val="0"/>
        <w:pageBreakBefore w:val="0"/>
        <w:widowControl w:val="0"/>
        <w:kinsoku/>
        <w:wordWrap/>
        <w:overflowPunct/>
        <w:topLinePunct w:val="0"/>
        <w:autoSpaceDE/>
        <w:autoSpaceDN/>
        <w:bidi w:val="0"/>
        <w:adjustRightInd/>
        <w:snapToGrid/>
        <w:spacing w:before="480" w:after="480" w:line="280" w:lineRule="exact"/>
        <w:ind w:left="0"/>
        <w:jc w:val="left"/>
        <w:textAlignment w:val="auto"/>
        <w:rPr>
          <w:rFonts w:ascii="Arial" w:hAnsi="Arial" w:eastAsia="等线" w:cs="Arial"/>
          <w:b/>
          <w:sz w:val="28"/>
          <w:szCs w:val="28"/>
        </w:rPr>
      </w:pPr>
      <w:bookmarkStart w:id="5" w:name="heading_5"/>
      <w:r>
        <w:rPr>
          <w:rFonts w:ascii="Arial" w:hAnsi="Arial" w:eastAsia="等线" w:cs="Arial"/>
          <w:b/>
          <w:sz w:val="28"/>
          <w:szCs w:val="28"/>
        </w:rPr>
        <w:t>2.1 基础数据挖掘与整理（所有产业通用）</w:t>
      </w:r>
      <w:bookmarkEnd w:id="5"/>
    </w:p>
    <w:p w14:paraId="17102728">
      <w:pPr>
        <w:keepNext w:val="0"/>
        <w:keepLines w:val="0"/>
        <w:pageBreakBefore w:val="0"/>
        <w:widowControl w:val="0"/>
        <w:numPr>
          <w:ilvl w:val="0"/>
          <w:numId w:val="1"/>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企业名录挖掘：搜集广东省内各产业相关企业（含规上企业、龙头企业、中小企业）的完整名录，明确企业注册地址、注册资本、成立时间、主营业务、行业地位等核心信息；</w:t>
      </w:r>
    </w:p>
    <w:p w14:paraId="0B24A1A6">
      <w:pPr>
        <w:keepNext w:val="0"/>
        <w:keepLines w:val="0"/>
        <w:pageBreakBefore w:val="0"/>
        <w:widowControl w:val="0"/>
        <w:numPr>
          <w:ilvl w:val="0"/>
          <w:numId w:val="1"/>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产值数据整理：统计各产业及细分领域的年度产值、增速、占比（占广东省制造业总产值/GDP比重），区分龙头企业与中小企业的产值贡献，梳理近3年（2024-2026）产值变化趋势；</w:t>
      </w:r>
    </w:p>
    <w:p w14:paraId="57EC5900">
      <w:pPr>
        <w:keepNext w:val="0"/>
        <w:keepLines w:val="0"/>
        <w:pageBreakBefore w:val="0"/>
        <w:widowControl w:val="0"/>
        <w:numPr>
          <w:ilvl w:val="0"/>
          <w:numId w:val="1"/>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产业基础梳理：梳理各产业在广东省的产业布局（重点城市、产业园区）、产业链完整度、核心配套设施（研发平台、生产基地、物流体系）、技术基础（专利数量、核心技术突破）等。</w:t>
      </w:r>
    </w:p>
    <w:p w14:paraId="6B3090C8">
      <w:pPr>
        <w:keepNext w:val="0"/>
        <w:keepLines w:val="0"/>
        <w:pageBreakBefore w:val="0"/>
        <w:widowControl w:val="0"/>
        <w:kinsoku/>
        <w:wordWrap/>
        <w:overflowPunct/>
        <w:topLinePunct w:val="0"/>
        <w:autoSpaceDE/>
        <w:autoSpaceDN/>
        <w:bidi w:val="0"/>
        <w:adjustRightInd/>
        <w:snapToGrid/>
        <w:spacing w:before="480" w:after="480" w:line="280" w:lineRule="exact"/>
        <w:ind w:left="0"/>
        <w:jc w:val="left"/>
        <w:textAlignment w:val="auto"/>
        <w:rPr>
          <w:rFonts w:ascii="Arial" w:hAnsi="Arial" w:eastAsia="等线" w:cs="Arial"/>
          <w:b/>
          <w:sz w:val="28"/>
          <w:szCs w:val="28"/>
        </w:rPr>
      </w:pPr>
      <w:bookmarkStart w:id="6" w:name="heading_6"/>
      <w:r>
        <w:rPr>
          <w:rFonts w:ascii="Arial" w:hAnsi="Arial" w:eastAsia="等线" w:cs="Arial"/>
          <w:b/>
          <w:sz w:val="28"/>
          <w:szCs w:val="28"/>
        </w:rPr>
        <w:t>2.2 产业画像与人才画像构建</w:t>
      </w:r>
      <w:bookmarkEnd w:id="6"/>
    </w:p>
    <w:p w14:paraId="037721C2">
      <w:pPr>
        <w:keepNext w:val="0"/>
        <w:keepLines w:val="0"/>
        <w:pageBreakBefore w:val="0"/>
        <w:widowControl w:val="0"/>
        <w:kinsoku/>
        <w:wordWrap/>
        <w:overflowPunct/>
        <w:topLinePunct w:val="0"/>
        <w:autoSpaceDE/>
        <w:autoSpaceDN/>
        <w:bidi w:val="0"/>
        <w:adjustRightInd/>
        <w:snapToGrid/>
        <w:spacing w:before="480" w:after="480" w:line="280" w:lineRule="exact"/>
        <w:ind w:left="0"/>
        <w:jc w:val="left"/>
        <w:textAlignment w:val="auto"/>
        <w:rPr>
          <w:rFonts w:ascii="Arial" w:hAnsi="Arial" w:eastAsia="等线" w:cs="Arial"/>
          <w:b/>
          <w:sz w:val="28"/>
          <w:szCs w:val="28"/>
        </w:rPr>
      </w:pPr>
      <w:bookmarkStart w:id="7" w:name="heading_7"/>
      <w:r>
        <w:rPr>
          <w:rFonts w:ascii="Arial" w:hAnsi="Arial" w:eastAsia="等线" w:cs="Arial"/>
          <w:b/>
          <w:sz w:val="28"/>
          <w:szCs w:val="28"/>
        </w:rPr>
        <w:t>2.2.1 产业画像</w:t>
      </w:r>
      <w:bookmarkEnd w:id="7"/>
    </w:p>
    <w:p w14:paraId="3A98CCD5">
      <w:pPr>
        <w:keepNext w:val="0"/>
        <w:keepLines w:val="0"/>
        <w:pageBreakBefore w:val="0"/>
        <w:widowControl w:val="0"/>
        <w:kinsoku/>
        <w:wordWrap/>
        <w:overflowPunct/>
        <w:topLinePunct w:val="0"/>
        <w:autoSpaceDE/>
        <w:autoSpaceDN/>
        <w:bidi w:val="0"/>
        <w:adjustRightInd/>
        <w:snapToGrid/>
        <w:spacing w:before="120" w:after="120" w:line="280" w:lineRule="exact"/>
        <w:ind w:left="0"/>
        <w:jc w:val="both"/>
        <w:textAlignment w:val="auto"/>
      </w:pPr>
      <w:r>
        <w:rPr>
          <w:rFonts w:ascii="Arial" w:hAnsi="Arial" w:eastAsia="等线" w:cs="Arial"/>
          <w:sz w:val="22"/>
        </w:rPr>
        <w:t>针对每一类产业（传统、新兴、未来）及细分领域，构建完整产业画像，核心包含：</w:t>
      </w:r>
    </w:p>
    <w:p w14:paraId="79A368E0">
      <w:pPr>
        <w:keepNext w:val="0"/>
        <w:keepLines w:val="0"/>
        <w:pageBreakBefore w:val="0"/>
        <w:widowControl w:val="0"/>
        <w:numPr>
          <w:ilvl w:val="0"/>
          <w:numId w:val="1"/>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规模特征：企业数量、产值规模、产业集中度（CR5/CR10）、区域分布特点；</w:t>
      </w:r>
    </w:p>
    <w:p w14:paraId="3AAE2CB2">
      <w:pPr>
        <w:keepNext w:val="0"/>
        <w:keepLines w:val="0"/>
        <w:pageBreakBefore w:val="0"/>
        <w:widowControl w:val="0"/>
        <w:numPr>
          <w:ilvl w:val="0"/>
          <w:numId w:val="1"/>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结构特征：产业链上下游分布、核心环节（研发、生产、销售）占比、企业类型分布（国企、民企、外企）；</w:t>
      </w:r>
    </w:p>
    <w:p w14:paraId="424A29FA">
      <w:pPr>
        <w:keepNext w:val="0"/>
        <w:keepLines w:val="0"/>
        <w:pageBreakBefore w:val="0"/>
        <w:widowControl w:val="0"/>
        <w:numPr>
          <w:ilvl w:val="0"/>
          <w:numId w:val="1"/>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发展特征：增长速度、技术迭代节奏、市场需求方向、面临的核心痛点；</w:t>
      </w:r>
    </w:p>
    <w:p w14:paraId="1A8FE733">
      <w:pPr>
        <w:keepNext w:val="0"/>
        <w:keepLines w:val="0"/>
        <w:pageBreakBefore w:val="0"/>
        <w:widowControl w:val="0"/>
        <w:numPr>
          <w:ilvl w:val="0"/>
          <w:numId w:val="1"/>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核心指标：结合产业特点，提炼关键指标（如传统产业的数字化渗透率、新兴产业的研发投入占比、未来产业的专利增长率等）。</w:t>
      </w:r>
    </w:p>
    <w:p w14:paraId="63A5DD64">
      <w:pPr>
        <w:keepNext w:val="0"/>
        <w:keepLines w:val="0"/>
        <w:pageBreakBefore w:val="0"/>
        <w:widowControl w:val="0"/>
        <w:kinsoku/>
        <w:wordWrap/>
        <w:overflowPunct/>
        <w:topLinePunct w:val="0"/>
        <w:autoSpaceDE/>
        <w:autoSpaceDN/>
        <w:bidi w:val="0"/>
        <w:adjustRightInd/>
        <w:snapToGrid/>
        <w:spacing w:before="480" w:after="480" w:line="280" w:lineRule="exact"/>
        <w:ind w:left="0"/>
        <w:jc w:val="left"/>
        <w:textAlignment w:val="auto"/>
        <w:rPr>
          <w:rFonts w:ascii="Arial" w:hAnsi="Arial" w:eastAsia="等线" w:cs="Arial"/>
          <w:b/>
          <w:sz w:val="28"/>
          <w:szCs w:val="28"/>
        </w:rPr>
      </w:pPr>
      <w:bookmarkStart w:id="8" w:name="heading_8"/>
      <w:r>
        <w:rPr>
          <w:rFonts w:ascii="Arial" w:hAnsi="Arial" w:eastAsia="等线" w:cs="Arial"/>
          <w:b/>
          <w:sz w:val="28"/>
          <w:szCs w:val="28"/>
        </w:rPr>
        <w:t>2.2.2 人才画像</w:t>
      </w:r>
      <w:bookmarkEnd w:id="8"/>
    </w:p>
    <w:p w14:paraId="52D9A601">
      <w:pPr>
        <w:keepNext w:val="0"/>
        <w:keepLines w:val="0"/>
        <w:pageBreakBefore w:val="0"/>
        <w:widowControl w:val="0"/>
        <w:kinsoku/>
        <w:wordWrap/>
        <w:overflowPunct/>
        <w:topLinePunct w:val="0"/>
        <w:autoSpaceDE/>
        <w:autoSpaceDN/>
        <w:bidi w:val="0"/>
        <w:adjustRightInd/>
        <w:snapToGrid/>
        <w:spacing w:before="120" w:after="120" w:line="280" w:lineRule="exact"/>
        <w:ind w:left="0"/>
        <w:jc w:val="both"/>
        <w:textAlignment w:val="auto"/>
      </w:pPr>
      <w:r>
        <w:rPr>
          <w:rFonts w:ascii="Arial" w:hAnsi="Arial" w:eastAsia="等线" w:cs="Arial"/>
          <w:sz w:val="22"/>
        </w:rPr>
        <w:t>匹配各产业发展需求，构建对应人才画像，核心包含：</w:t>
      </w:r>
    </w:p>
    <w:p w14:paraId="55EA65A7">
      <w:pPr>
        <w:keepNext w:val="0"/>
        <w:keepLines w:val="0"/>
        <w:pageBreakBefore w:val="0"/>
        <w:widowControl w:val="0"/>
        <w:numPr>
          <w:ilvl w:val="0"/>
          <w:numId w:val="1"/>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人才规模与结构：从业人员总量、学历结构（本科/硕士/博士占比）、职称结构、年龄结构；</w:t>
      </w:r>
    </w:p>
    <w:p w14:paraId="000286E4">
      <w:pPr>
        <w:keepNext w:val="0"/>
        <w:keepLines w:val="0"/>
        <w:pageBreakBefore w:val="0"/>
        <w:widowControl w:val="0"/>
        <w:numPr>
          <w:ilvl w:val="0"/>
          <w:numId w:val="1"/>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核心人才需求：各产业紧缺人才类型（如新兴产业的芯片研发人才、未来产业的具身智能工程师、传统产业的数字化改造人才）、技能要求、从业经验要求；</w:t>
      </w:r>
    </w:p>
    <w:p w14:paraId="2812A4E4">
      <w:pPr>
        <w:keepNext w:val="0"/>
        <w:keepLines w:val="0"/>
        <w:pageBreakBefore w:val="0"/>
        <w:widowControl w:val="0"/>
        <w:numPr>
          <w:ilvl w:val="0"/>
          <w:numId w:val="1"/>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人才分布与流动：人才集中区域（重点城市/产业园区）、人才流动趋势、校企合作培养情况；</w:t>
      </w:r>
    </w:p>
    <w:p w14:paraId="4E9562A3">
      <w:pPr>
        <w:keepNext w:val="0"/>
        <w:keepLines w:val="0"/>
        <w:pageBreakBefore w:val="0"/>
        <w:widowControl w:val="0"/>
        <w:numPr>
          <w:ilvl w:val="0"/>
          <w:numId w:val="1"/>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人才政策适配：现有人才政策对各产业人才的覆盖情况、人才薪酬水平与行业竞争力。</w:t>
      </w:r>
    </w:p>
    <w:p w14:paraId="6A391906">
      <w:pPr>
        <w:keepNext w:val="0"/>
        <w:keepLines w:val="0"/>
        <w:pageBreakBefore w:val="0"/>
        <w:widowControl w:val="0"/>
        <w:kinsoku/>
        <w:wordWrap/>
        <w:overflowPunct/>
        <w:topLinePunct w:val="0"/>
        <w:autoSpaceDE/>
        <w:autoSpaceDN/>
        <w:bidi w:val="0"/>
        <w:adjustRightInd/>
        <w:snapToGrid/>
        <w:spacing w:before="480" w:after="480" w:line="280" w:lineRule="exact"/>
        <w:ind w:left="0"/>
        <w:jc w:val="left"/>
        <w:textAlignment w:val="auto"/>
        <w:rPr>
          <w:rFonts w:ascii="Arial" w:hAnsi="Arial" w:eastAsia="等线" w:cs="Arial"/>
          <w:b/>
          <w:sz w:val="28"/>
          <w:szCs w:val="28"/>
        </w:rPr>
      </w:pPr>
      <w:bookmarkStart w:id="9" w:name="heading_9"/>
      <w:r>
        <w:rPr>
          <w:rFonts w:ascii="Arial" w:hAnsi="Arial" w:eastAsia="等线" w:cs="Arial"/>
          <w:b/>
          <w:sz w:val="28"/>
          <w:szCs w:val="28"/>
        </w:rPr>
        <w:t>2.3 产业集群竞争优势分析</w:t>
      </w:r>
      <w:bookmarkEnd w:id="9"/>
    </w:p>
    <w:p w14:paraId="33A56E14">
      <w:pPr>
        <w:keepNext w:val="0"/>
        <w:keepLines w:val="0"/>
        <w:pageBreakBefore w:val="0"/>
        <w:widowControl w:val="0"/>
        <w:numPr>
          <w:ilvl w:val="0"/>
          <w:numId w:val="1"/>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理论基础支撑：明确分析所依托的核心理论（如产业集群理论、波特五力模型、钻石模型、比较优势理论等），确保分析逻辑严谨、有理论依据；</w:t>
      </w:r>
    </w:p>
    <w:p w14:paraId="0424A605">
      <w:pPr>
        <w:keepNext w:val="0"/>
        <w:keepLines w:val="0"/>
        <w:pageBreakBefore w:val="0"/>
        <w:widowControl w:val="0"/>
        <w:numPr>
          <w:ilvl w:val="0"/>
          <w:numId w:val="1"/>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省内集群分析：梳理各产业在广东省内的核心产业集群（如深圳集成电路集群、珠海新能源集群），分析集群的核心优势（产业链完整度、龙头企业带动、技术创新能力、政策支持、区位优势等）；</w:t>
      </w:r>
    </w:p>
    <w:p w14:paraId="4F93AE6F">
      <w:pPr>
        <w:keepNext w:val="0"/>
        <w:keepLines w:val="0"/>
        <w:pageBreakBefore w:val="0"/>
        <w:widowControl w:val="0"/>
        <w:numPr>
          <w:ilvl w:val="0"/>
          <w:numId w:val="1"/>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国内外对比分析：</w:t>
      </w:r>
      <w:r>
        <w:rPr>
          <w:rFonts w:ascii="Arial" w:hAnsi="Arial" w:eastAsia="等线" w:cs="Arial"/>
          <w:sz w:val="22"/>
        </w:rPr>
        <w:br w:type="textWrapping"/>
      </w:r>
    </w:p>
    <w:p w14:paraId="387DA702">
      <w:pPr>
        <w:keepNext w:val="0"/>
        <w:keepLines w:val="0"/>
        <w:pageBreakBefore w:val="0"/>
        <w:widowControl w:val="0"/>
        <w:numPr>
          <w:ilvl w:val="0"/>
          <w:numId w:val="2"/>
        </w:numPr>
        <w:kinsoku/>
        <w:wordWrap/>
        <w:overflowPunct/>
        <w:topLinePunct w:val="0"/>
        <w:autoSpaceDE/>
        <w:autoSpaceDN/>
        <w:bidi w:val="0"/>
        <w:adjustRightInd/>
        <w:snapToGrid/>
        <w:spacing w:before="120" w:after="120" w:line="280" w:lineRule="exact"/>
        <w:ind w:left="0" w:leftChars="0" w:firstLine="440" w:firstLineChars="200"/>
        <w:jc w:val="both"/>
        <w:textAlignment w:val="auto"/>
      </w:pPr>
      <w:r>
        <w:rPr>
          <w:rFonts w:ascii="Arial" w:hAnsi="Arial" w:eastAsia="等线" w:cs="Arial"/>
          <w:sz w:val="22"/>
        </w:rPr>
        <w:t>国内对比：选取国内同类型产业发达省份/城市（如江苏、浙江、上海），对比产业规模、技术水平、集群竞争力、人才储备等，找出广东省的优势与差距；</w:t>
      </w:r>
    </w:p>
    <w:p w14:paraId="03A416BF">
      <w:pPr>
        <w:keepNext w:val="0"/>
        <w:keepLines w:val="0"/>
        <w:pageBreakBefore w:val="0"/>
        <w:widowControl w:val="0"/>
        <w:numPr>
          <w:ilvl w:val="0"/>
          <w:numId w:val="2"/>
        </w:numPr>
        <w:kinsoku/>
        <w:wordWrap/>
        <w:overflowPunct/>
        <w:topLinePunct w:val="0"/>
        <w:autoSpaceDE/>
        <w:autoSpaceDN/>
        <w:bidi w:val="0"/>
        <w:adjustRightInd/>
        <w:snapToGrid/>
        <w:spacing w:before="120" w:after="120" w:line="280" w:lineRule="exact"/>
        <w:ind w:left="0" w:leftChars="0" w:firstLine="440" w:firstLineChars="200"/>
        <w:jc w:val="both"/>
        <w:textAlignment w:val="auto"/>
      </w:pPr>
      <w:r>
        <w:rPr>
          <w:rFonts w:ascii="Arial" w:hAnsi="Arial" w:eastAsia="等线" w:cs="Arial"/>
          <w:sz w:val="22"/>
        </w:rPr>
        <w:t>国外对比：选取全球同类型产业领先国家/地区（如美国、德国、日本），对比产业技术壁垒、集群发展模式、政策支持体系等，提炼可借鉴的经验与教训。</w:t>
      </w:r>
    </w:p>
    <w:p w14:paraId="7F5BE5B7">
      <w:pPr>
        <w:keepNext w:val="0"/>
        <w:keepLines w:val="0"/>
        <w:pageBreakBefore w:val="0"/>
        <w:widowControl w:val="0"/>
        <w:numPr>
          <w:ilvl w:val="0"/>
          <w:numId w:val="3"/>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优势总结与短板分析：明确广东省各产业集群的核心竞争优势、可持续性，以及当前存在的短板（如技术瓶颈、人才缺口、产业链薄弱环节等）。</w:t>
      </w:r>
    </w:p>
    <w:p w14:paraId="2FFB0ADA">
      <w:pPr>
        <w:keepNext w:val="0"/>
        <w:keepLines w:val="0"/>
        <w:pageBreakBefore w:val="0"/>
        <w:widowControl w:val="0"/>
        <w:kinsoku/>
        <w:wordWrap/>
        <w:overflowPunct/>
        <w:topLinePunct w:val="0"/>
        <w:autoSpaceDE/>
        <w:autoSpaceDN/>
        <w:bidi w:val="0"/>
        <w:adjustRightInd/>
        <w:snapToGrid/>
        <w:spacing w:before="480" w:after="480" w:line="280" w:lineRule="exact"/>
        <w:ind w:left="0"/>
        <w:jc w:val="left"/>
        <w:textAlignment w:val="auto"/>
        <w:rPr>
          <w:rFonts w:ascii="Arial" w:hAnsi="Arial" w:eastAsia="等线" w:cs="Arial"/>
          <w:b/>
          <w:sz w:val="28"/>
          <w:szCs w:val="28"/>
        </w:rPr>
      </w:pPr>
      <w:bookmarkStart w:id="10" w:name="heading_10"/>
      <w:r>
        <w:rPr>
          <w:rFonts w:ascii="Arial" w:hAnsi="Arial" w:eastAsia="等线" w:cs="Arial"/>
          <w:b/>
          <w:sz w:val="28"/>
          <w:szCs w:val="28"/>
        </w:rPr>
        <w:t>2.4 配套优惠政策梳理</w:t>
      </w:r>
      <w:bookmarkEnd w:id="10"/>
    </w:p>
    <w:p w14:paraId="0D819A4E">
      <w:pPr>
        <w:keepNext w:val="0"/>
        <w:keepLines w:val="0"/>
        <w:pageBreakBefore w:val="0"/>
        <w:widowControl w:val="0"/>
        <w:kinsoku/>
        <w:wordWrap/>
        <w:overflowPunct/>
        <w:topLinePunct w:val="0"/>
        <w:autoSpaceDE/>
        <w:autoSpaceDN/>
        <w:bidi w:val="0"/>
        <w:adjustRightInd/>
        <w:snapToGrid/>
        <w:spacing w:before="120" w:after="120" w:line="280" w:lineRule="exact"/>
        <w:ind w:left="0"/>
        <w:jc w:val="both"/>
        <w:textAlignment w:val="auto"/>
      </w:pPr>
      <w:r>
        <w:rPr>
          <w:rFonts w:ascii="Arial" w:hAnsi="Arial" w:eastAsia="等线" w:cs="Arial"/>
          <w:sz w:val="22"/>
        </w:rPr>
        <w:t>针对每一类产业，全面梳理广东省内（含省级、市级）的具体优惠政策，核心包含：</w:t>
      </w:r>
    </w:p>
    <w:p w14:paraId="66648F95">
      <w:pPr>
        <w:keepNext w:val="0"/>
        <w:keepLines w:val="0"/>
        <w:pageBreakBefore w:val="0"/>
        <w:widowControl w:val="0"/>
        <w:numPr>
          <w:ilvl w:val="0"/>
          <w:numId w:val="3"/>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政策类型：研发补贴、税收减免、土地支持、融资优惠、人才补贴、园区扶持等；</w:t>
      </w:r>
    </w:p>
    <w:p w14:paraId="3CDBD6DB">
      <w:pPr>
        <w:keepNext w:val="0"/>
        <w:keepLines w:val="0"/>
        <w:pageBreakBefore w:val="0"/>
        <w:widowControl w:val="0"/>
        <w:numPr>
          <w:ilvl w:val="0"/>
          <w:numId w:val="3"/>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政策细节：政策适用对象、申请条件、补贴标准、办理流程、有效期限；</w:t>
      </w:r>
    </w:p>
    <w:p w14:paraId="0748E70B">
      <w:pPr>
        <w:keepNext w:val="0"/>
        <w:keepLines w:val="0"/>
        <w:pageBreakBefore w:val="0"/>
        <w:widowControl w:val="0"/>
        <w:numPr>
          <w:ilvl w:val="0"/>
          <w:numId w:val="3"/>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政策适配性：分析各项政策与各产业、各企业类型（龙头/中小）的适配情况，明确政策落地重点与潜在受益企业；</w:t>
      </w:r>
    </w:p>
    <w:p w14:paraId="7EE2B321">
      <w:pPr>
        <w:keepNext w:val="0"/>
        <w:keepLines w:val="0"/>
        <w:pageBreakBefore w:val="0"/>
        <w:widowControl w:val="0"/>
        <w:numPr>
          <w:ilvl w:val="0"/>
          <w:numId w:val="3"/>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政策对比：对比国内外同类型产业的政策支持差异，提出广东省政策优化的初步建议（可选）。</w:t>
      </w:r>
    </w:p>
    <w:p w14:paraId="760527B6">
      <w:pPr>
        <w:keepNext w:val="0"/>
        <w:keepLines w:val="0"/>
        <w:pageBreakBefore w:val="0"/>
        <w:widowControl w:val="0"/>
        <w:kinsoku/>
        <w:wordWrap/>
        <w:overflowPunct/>
        <w:topLinePunct w:val="0"/>
        <w:autoSpaceDE/>
        <w:autoSpaceDN/>
        <w:bidi w:val="0"/>
        <w:adjustRightInd/>
        <w:snapToGrid/>
        <w:spacing w:before="480" w:after="480" w:line="280" w:lineRule="exact"/>
        <w:ind w:left="0"/>
        <w:jc w:val="left"/>
        <w:textAlignment w:val="auto"/>
        <w:rPr>
          <w:rFonts w:ascii="Arial" w:hAnsi="Arial" w:eastAsia="等线" w:cs="Arial"/>
          <w:b/>
          <w:sz w:val="28"/>
          <w:szCs w:val="28"/>
        </w:rPr>
      </w:pPr>
      <w:bookmarkStart w:id="11" w:name="heading_11"/>
      <w:r>
        <w:rPr>
          <w:rFonts w:ascii="Arial" w:hAnsi="Arial" w:eastAsia="等线" w:cs="Arial"/>
          <w:b/>
          <w:sz w:val="28"/>
          <w:szCs w:val="28"/>
        </w:rPr>
        <w:t>三、项目执行要求</w:t>
      </w:r>
      <w:bookmarkEnd w:id="11"/>
    </w:p>
    <w:p w14:paraId="1FE0BB94">
      <w:pPr>
        <w:keepNext w:val="0"/>
        <w:keepLines w:val="0"/>
        <w:pageBreakBefore w:val="0"/>
        <w:widowControl w:val="0"/>
        <w:kinsoku/>
        <w:wordWrap/>
        <w:overflowPunct/>
        <w:topLinePunct w:val="0"/>
        <w:autoSpaceDE/>
        <w:autoSpaceDN/>
        <w:bidi w:val="0"/>
        <w:adjustRightInd/>
        <w:snapToGrid/>
        <w:spacing w:before="480" w:after="480" w:line="280" w:lineRule="exact"/>
        <w:ind w:left="0"/>
        <w:jc w:val="left"/>
        <w:textAlignment w:val="auto"/>
        <w:rPr>
          <w:rFonts w:ascii="Arial" w:hAnsi="Arial" w:eastAsia="等线" w:cs="Arial"/>
          <w:b/>
          <w:sz w:val="28"/>
          <w:szCs w:val="28"/>
        </w:rPr>
      </w:pPr>
      <w:bookmarkStart w:id="12" w:name="heading_12"/>
      <w:r>
        <w:rPr>
          <w:rFonts w:ascii="Arial" w:hAnsi="Arial" w:eastAsia="等线" w:cs="Arial"/>
          <w:b/>
          <w:sz w:val="28"/>
          <w:szCs w:val="28"/>
        </w:rPr>
        <w:t>3.1 数据要求</w:t>
      </w:r>
      <w:bookmarkEnd w:id="12"/>
    </w:p>
    <w:p w14:paraId="55CACDCA">
      <w:pPr>
        <w:keepNext w:val="0"/>
        <w:keepLines w:val="0"/>
        <w:pageBreakBefore w:val="0"/>
        <w:widowControl w:val="0"/>
        <w:numPr>
          <w:ilvl w:val="0"/>
          <w:numId w:val="3"/>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真实性：数据来源需权威、可溯源（优先选用政府官网、统计年鉴、行业协会报告、权威数据库，如企查查、Wind、CEIC等）；</w:t>
      </w:r>
    </w:p>
    <w:p w14:paraId="256FC452">
      <w:pPr>
        <w:keepNext w:val="0"/>
        <w:keepLines w:val="0"/>
        <w:pageBreakBefore w:val="0"/>
        <w:widowControl w:val="0"/>
        <w:numPr>
          <w:ilvl w:val="0"/>
          <w:numId w:val="3"/>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全面性：覆盖各产业细分领域，避免遗漏核心企业、关键数据及重要政策；</w:t>
      </w:r>
    </w:p>
    <w:p w14:paraId="4940DD0A">
      <w:pPr>
        <w:keepNext w:val="0"/>
        <w:keepLines w:val="0"/>
        <w:pageBreakBefore w:val="0"/>
        <w:widowControl w:val="0"/>
        <w:numPr>
          <w:ilvl w:val="0"/>
          <w:numId w:val="3"/>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时效性：优先选用2026年最新数据，补充2024-2025年数据用于趋势分析，确保数据贴合当前产业发展现状；</w:t>
      </w:r>
    </w:p>
    <w:p w14:paraId="02F6334E">
      <w:pPr>
        <w:keepNext w:val="0"/>
        <w:keepLines w:val="0"/>
        <w:pageBreakBefore w:val="0"/>
        <w:widowControl w:val="0"/>
        <w:numPr>
          <w:ilvl w:val="0"/>
          <w:numId w:val="3"/>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规范性：数据整理需统一格式，明确单位、统计口径，便于后续汇总分析与对比。</w:t>
      </w:r>
    </w:p>
    <w:p w14:paraId="3870405C">
      <w:pPr>
        <w:keepNext w:val="0"/>
        <w:keepLines w:val="0"/>
        <w:pageBreakBefore w:val="0"/>
        <w:widowControl w:val="0"/>
        <w:kinsoku/>
        <w:wordWrap/>
        <w:overflowPunct/>
        <w:topLinePunct w:val="0"/>
        <w:autoSpaceDE/>
        <w:autoSpaceDN/>
        <w:bidi w:val="0"/>
        <w:adjustRightInd/>
        <w:snapToGrid/>
        <w:spacing w:before="480" w:after="480" w:line="280" w:lineRule="exact"/>
        <w:ind w:left="0"/>
        <w:jc w:val="left"/>
        <w:textAlignment w:val="auto"/>
        <w:rPr>
          <w:rFonts w:ascii="Arial" w:hAnsi="Arial" w:eastAsia="等线" w:cs="Arial"/>
          <w:b/>
          <w:sz w:val="28"/>
          <w:szCs w:val="28"/>
        </w:rPr>
      </w:pPr>
      <w:bookmarkStart w:id="13" w:name="heading_13"/>
      <w:r>
        <w:rPr>
          <w:rFonts w:ascii="Arial" w:hAnsi="Arial" w:eastAsia="等线" w:cs="Arial"/>
          <w:b/>
          <w:sz w:val="28"/>
          <w:szCs w:val="28"/>
        </w:rPr>
        <w:t>3.2 理论要求</w:t>
      </w:r>
      <w:bookmarkEnd w:id="13"/>
    </w:p>
    <w:p w14:paraId="7B96C8F6">
      <w:pPr>
        <w:keepNext w:val="0"/>
        <w:keepLines w:val="0"/>
        <w:pageBreakBefore w:val="0"/>
        <w:widowControl w:val="0"/>
        <w:kinsoku/>
        <w:wordWrap/>
        <w:overflowPunct/>
        <w:topLinePunct w:val="0"/>
        <w:autoSpaceDE/>
        <w:autoSpaceDN/>
        <w:bidi w:val="0"/>
        <w:adjustRightInd/>
        <w:snapToGrid/>
        <w:spacing w:before="120" w:after="120" w:line="280" w:lineRule="exact"/>
        <w:ind w:left="0"/>
        <w:jc w:val="both"/>
        <w:textAlignment w:val="auto"/>
      </w:pPr>
      <w:r>
        <w:rPr>
          <w:rFonts w:ascii="Arial" w:hAnsi="Arial" w:eastAsia="等线" w:cs="Arial"/>
          <w:sz w:val="22"/>
        </w:rPr>
        <w:t>竞争优势分析需明确依托1-2个核心理论，理论应用需准确、贴合产业实际，避免理论与分析脱节；需在报告中明确理论核心观点，以及如何结合理论开展产业分析。</w:t>
      </w:r>
    </w:p>
    <w:p w14:paraId="73A3EF80">
      <w:pPr>
        <w:keepNext w:val="0"/>
        <w:keepLines w:val="0"/>
        <w:pageBreakBefore w:val="0"/>
        <w:widowControl w:val="0"/>
        <w:kinsoku/>
        <w:wordWrap/>
        <w:overflowPunct/>
        <w:topLinePunct w:val="0"/>
        <w:autoSpaceDE/>
        <w:autoSpaceDN/>
        <w:bidi w:val="0"/>
        <w:adjustRightInd/>
        <w:snapToGrid/>
        <w:spacing w:before="480" w:after="480" w:line="280" w:lineRule="exact"/>
        <w:ind w:left="0"/>
        <w:jc w:val="left"/>
        <w:textAlignment w:val="auto"/>
        <w:rPr>
          <w:rFonts w:ascii="Arial" w:hAnsi="Arial" w:eastAsia="等线" w:cs="Arial"/>
          <w:b/>
          <w:sz w:val="28"/>
          <w:szCs w:val="28"/>
        </w:rPr>
      </w:pPr>
      <w:bookmarkStart w:id="14" w:name="heading_14"/>
      <w:r>
        <w:rPr>
          <w:rFonts w:ascii="Arial" w:hAnsi="Arial" w:eastAsia="等线" w:cs="Arial"/>
          <w:b/>
          <w:sz w:val="28"/>
          <w:szCs w:val="28"/>
        </w:rPr>
        <w:t>3.3 分析要求</w:t>
      </w:r>
      <w:bookmarkEnd w:id="14"/>
    </w:p>
    <w:p w14:paraId="36C5357F">
      <w:pPr>
        <w:keepNext w:val="0"/>
        <w:keepLines w:val="0"/>
        <w:pageBreakBefore w:val="0"/>
        <w:widowControl w:val="0"/>
        <w:numPr>
          <w:ilvl w:val="0"/>
          <w:numId w:val="3"/>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逻辑性：分析过程需层层递进，从基础数据到画像构建，再到竞争优势与政策分析，逻辑连贯、论据充分；</w:t>
      </w:r>
    </w:p>
    <w:p w14:paraId="38D1391C">
      <w:pPr>
        <w:keepNext w:val="0"/>
        <w:keepLines w:val="0"/>
        <w:pageBreakBefore w:val="0"/>
        <w:widowControl w:val="0"/>
        <w:numPr>
          <w:ilvl w:val="0"/>
          <w:numId w:val="3"/>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针对性：聚焦广东省产业特点，避免泛泛而谈，突出广东特色（如区位优势、产业基础、政策导向）；</w:t>
      </w:r>
    </w:p>
    <w:p w14:paraId="3E4090BC">
      <w:pPr>
        <w:keepNext w:val="0"/>
        <w:keepLines w:val="0"/>
        <w:pageBreakBefore w:val="0"/>
        <w:widowControl w:val="0"/>
        <w:numPr>
          <w:ilvl w:val="0"/>
          <w:numId w:val="3"/>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实用性：分析结果需贴合项目需求，能够为后续工作提供明确支撑，提出的观点、建议需具有可落地性。</w:t>
      </w:r>
    </w:p>
    <w:p w14:paraId="733979AD">
      <w:pPr>
        <w:keepNext w:val="0"/>
        <w:keepLines w:val="0"/>
        <w:pageBreakBefore w:val="0"/>
        <w:widowControl w:val="0"/>
        <w:kinsoku/>
        <w:wordWrap/>
        <w:overflowPunct/>
        <w:topLinePunct w:val="0"/>
        <w:autoSpaceDE/>
        <w:autoSpaceDN/>
        <w:bidi w:val="0"/>
        <w:adjustRightInd/>
        <w:snapToGrid/>
        <w:spacing w:before="480" w:after="480" w:line="280" w:lineRule="exact"/>
        <w:ind w:left="0"/>
        <w:jc w:val="left"/>
        <w:textAlignment w:val="auto"/>
        <w:rPr>
          <w:rFonts w:ascii="Arial" w:hAnsi="Arial" w:eastAsia="等线" w:cs="Arial"/>
          <w:b/>
          <w:sz w:val="28"/>
          <w:szCs w:val="28"/>
        </w:rPr>
      </w:pPr>
      <w:bookmarkStart w:id="15" w:name="heading_15"/>
      <w:r>
        <w:rPr>
          <w:rFonts w:ascii="Arial" w:hAnsi="Arial" w:eastAsia="等线" w:cs="Arial"/>
          <w:b/>
          <w:sz w:val="28"/>
          <w:szCs w:val="28"/>
        </w:rPr>
        <w:t>3.4 分工与进度要求（可根据团队规模调整）</w:t>
      </w:r>
      <w:bookmarkEnd w:id="15"/>
    </w:p>
    <w:p w14:paraId="7BF87EF3">
      <w:pPr>
        <w:keepNext w:val="0"/>
        <w:keepLines w:val="0"/>
        <w:pageBreakBefore w:val="0"/>
        <w:widowControl w:val="0"/>
        <w:numPr>
          <w:ilvl w:val="0"/>
          <w:numId w:val="3"/>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分工原则：按产业类别（传统/新兴/未来）分工，每个产业明确专人负责数据挖掘、画像构建、竞争优势分析、政策梳理，确保责任到人；</w:t>
      </w:r>
    </w:p>
    <w:p w14:paraId="21D6E006">
      <w:pPr>
        <w:keepNext w:val="0"/>
        <w:keepLines w:val="0"/>
        <w:pageBreakBefore w:val="0"/>
        <w:widowControl w:val="0"/>
        <w:numPr>
          <w:ilvl w:val="0"/>
          <w:numId w:val="3"/>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进度节点：明确各阶段完成时间（如数据挖掘完成时间、画像构建完成时间、初稿撰写时间、终稿定稿时间），确保项目按时推进。</w:t>
      </w:r>
    </w:p>
    <w:p w14:paraId="03A2F19B">
      <w:pPr>
        <w:keepNext w:val="0"/>
        <w:keepLines w:val="0"/>
        <w:pageBreakBefore w:val="0"/>
        <w:widowControl w:val="0"/>
        <w:kinsoku/>
        <w:wordWrap/>
        <w:overflowPunct/>
        <w:topLinePunct w:val="0"/>
        <w:autoSpaceDE/>
        <w:autoSpaceDN/>
        <w:bidi w:val="0"/>
        <w:adjustRightInd/>
        <w:snapToGrid/>
        <w:spacing w:before="480" w:after="480" w:line="280" w:lineRule="exact"/>
        <w:ind w:left="0"/>
        <w:jc w:val="left"/>
        <w:textAlignment w:val="auto"/>
        <w:rPr>
          <w:rFonts w:ascii="Arial" w:hAnsi="Arial" w:eastAsia="等线" w:cs="Arial"/>
          <w:b/>
          <w:sz w:val="28"/>
          <w:szCs w:val="28"/>
        </w:rPr>
      </w:pPr>
      <w:bookmarkStart w:id="16" w:name="heading_16"/>
      <w:r>
        <w:rPr>
          <w:rFonts w:ascii="Arial" w:hAnsi="Arial" w:eastAsia="等线" w:cs="Arial"/>
          <w:b/>
          <w:sz w:val="28"/>
          <w:szCs w:val="28"/>
        </w:rPr>
        <w:t>四、产出框架（最终交付物）</w:t>
      </w:r>
      <w:bookmarkEnd w:id="16"/>
    </w:p>
    <w:p w14:paraId="092B4C47">
      <w:pPr>
        <w:keepNext w:val="0"/>
        <w:keepLines w:val="0"/>
        <w:pageBreakBefore w:val="0"/>
        <w:widowControl w:val="0"/>
        <w:kinsoku/>
        <w:wordWrap/>
        <w:overflowPunct/>
        <w:topLinePunct w:val="0"/>
        <w:autoSpaceDE/>
        <w:autoSpaceDN/>
        <w:bidi w:val="0"/>
        <w:adjustRightInd/>
        <w:snapToGrid/>
        <w:spacing w:before="480" w:after="480" w:line="280" w:lineRule="exact"/>
        <w:ind w:left="0"/>
        <w:jc w:val="left"/>
        <w:textAlignment w:val="auto"/>
        <w:rPr>
          <w:rFonts w:ascii="Arial" w:hAnsi="Arial" w:eastAsia="等线" w:cs="Arial"/>
          <w:b/>
          <w:sz w:val="28"/>
          <w:szCs w:val="28"/>
        </w:rPr>
      </w:pPr>
      <w:bookmarkStart w:id="17" w:name="heading_17"/>
      <w:r>
        <w:rPr>
          <w:rFonts w:ascii="Arial" w:hAnsi="Arial" w:eastAsia="等线" w:cs="Arial"/>
          <w:b/>
          <w:sz w:val="28"/>
          <w:szCs w:val="28"/>
        </w:rPr>
        <w:t>4.1 核心产出物：《广东省重点产业分析报告》（完整版）</w:t>
      </w:r>
      <w:bookmarkEnd w:id="17"/>
    </w:p>
    <w:p w14:paraId="58181396">
      <w:pPr>
        <w:keepNext w:val="0"/>
        <w:keepLines w:val="0"/>
        <w:pageBreakBefore w:val="0"/>
        <w:widowControl w:val="0"/>
        <w:numPr>
          <w:ilvl w:val="0"/>
          <w:numId w:val="4"/>
        </w:numPr>
        <w:kinsoku/>
        <w:wordWrap/>
        <w:overflowPunct/>
        <w:topLinePunct w:val="0"/>
        <w:autoSpaceDE/>
        <w:autoSpaceDN/>
        <w:bidi w:val="0"/>
        <w:adjustRightInd/>
        <w:snapToGrid/>
        <w:spacing w:before="120" w:after="120" w:line="280" w:lineRule="exact"/>
        <w:ind w:left="425" w:leftChars="0" w:hanging="425" w:firstLineChars="0"/>
        <w:jc w:val="both"/>
        <w:textAlignment w:val="auto"/>
      </w:pPr>
      <w:r>
        <w:rPr>
          <w:rFonts w:ascii="Arial" w:hAnsi="Arial" w:eastAsia="等线" w:cs="Arial"/>
          <w:sz w:val="22"/>
        </w:rPr>
        <w:t>报告整体结构清晰、内容详实，包含以下章节，可根据实际分析情况调整：</w:t>
      </w:r>
    </w:p>
    <w:p w14:paraId="2B45A85D">
      <w:pPr>
        <w:keepNext w:val="0"/>
        <w:keepLines w:val="0"/>
        <w:pageBreakBefore w:val="0"/>
        <w:widowControl w:val="0"/>
        <w:numPr>
          <w:ilvl w:val="0"/>
          <w:numId w:val="4"/>
        </w:numPr>
        <w:kinsoku/>
        <w:wordWrap/>
        <w:overflowPunct/>
        <w:topLinePunct w:val="0"/>
        <w:autoSpaceDE/>
        <w:autoSpaceDN/>
        <w:bidi w:val="0"/>
        <w:adjustRightInd/>
        <w:snapToGrid/>
        <w:spacing w:before="120" w:after="120" w:line="280" w:lineRule="exact"/>
        <w:ind w:left="425" w:leftChars="0" w:hanging="425" w:firstLineChars="0"/>
        <w:jc w:val="both"/>
        <w:textAlignment w:val="auto"/>
      </w:pPr>
      <w:r>
        <w:rPr>
          <w:rFonts w:ascii="Arial" w:hAnsi="Arial" w:eastAsia="等线" w:cs="Arial"/>
          <w:sz w:val="22"/>
        </w:rPr>
        <w:t>摘要：项目背景、核心任务、主要结论、核心建议（1-2页）；</w:t>
      </w:r>
    </w:p>
    <w:p w14:paraId="3D35139E">
      <w:pPr>
        <w:keepNext w:val="0"/>
        <w:keepLines w:val="0"/>
        <w:pageBreakBefore w:val="0"/>
        <w:widowControl w:val="0"/>
        <w:numPr>
          <w:ilvl w:val="0"/>
          <w:numId w:val="4"/>
        </w:numPr>
        <w:kinsoku/>
        <w:wordWrap/>
        <w:overflowPunct/>
        <w:topLinePunct w:val="0"/>
        <w:autoSpaceDE/>
        <w:autoSpaceDN/>
        <w:bidi w:val="0"/>
        <w:adjustRightInd/>
        <w:snapToGrid/>
        <w:spacing w:before="120" w:after="120" w:line="280" w:lineRule="exact"/>
        <w:ind w:left="425" w:leftChars="0" w:hanging="425" w:firstLineChars="0"/>
        <w:jc w:val="both"/>
        <w:textAlignment w:val="auto"/>
      </w:pPr>
      <w:r>
        <w:rPr>
          <w:rFonts w:ascii="Arial" w:hAnsi="Arial" w:eastAsia="等线" w:cs="Arial"/>
          <w:sz w:val="22"/>
        </w:rPr>
        <w:t>引言：项目目的、分析范围、数据来源、理论基础；</w:t>
      </w:r>
    </w:p>
    <w:p w14:paraId="1F25DA59">
      <w:pPr>
        <w:keepNext w:val="0"/>
        <w:keepLines w:val="0"/>
        <w:pageBreakBefore w:val="0"/>
        <w:widowControl w:val="0"/>
        <w:numPr>
          <w:ilvl w:val="0"/>
          <w:numId w:val="4"/>
        </w:numPr>
        <w:kinsoku/>
        <w:wordWrap/>
        <w:overflowPunct/>
        <w:topLinePunct w:val="0"/>
        <w:autoSpaceDE/>
        <w:autoSpaceDN/>
        <w:bidi w:val="0"/>
        <w:adjustRightInd/>
        <w:snapToGrid/>
        <w:spacing w:before="120" w:after="120" w:line="280" w:lineRule="exact"/>
        <w:ind w:left="425" w:leftChars="0" w:hanging="425" w:firstLineChars="0"/>
        <w:jc w:val="both"/>
        <w:textAlignment w:val="auto"/>
      </w:pPr>
      <w:r>
        <w:rPr>
          <w:rFonts w:ascii="Arial" w:hAnsi="Arial" w:eastAsia="等线" w:cs="Arial"/>
          <w:sz w:val="22"/>
        </w:rPr>
        <w:t>广东省三大重点产业基础概况（企业、产值、产业基础汇总）；</w:t>
      </w:r>
    </w:p>
    <w:p w14:paraId="77A1F162">
      <w:pPr>
        <w:keepNext w:val="0"/>
        <w:keepLines w:val="0"/>
        <w:pageBreakBefore w:val="0"/>
        <w:widowControl w:val="0"/>
        <w:numPr>
          <w:ilvl w:val="0"/>
          <w:numId w:val="4"/>
        </w:numPr>
        <w:kinsoku/>
        <w:wordWrap/>
        <w:overflowPunct/>
        <w:topLinePunct w:val="0"/>
        <w:autoSpaceDE/>
        <w:autoSpaceDN/>
        <w:bidi w:val="0"/>
        <w:adjustRightInd/>
        <w:snapToGrid/>
        <w:spacing w:before="120" w:after="120" w:line="280" w:lineRule="exact"/>
        <w:ind w:left="425" w:leftChars="0" w:hanging="425" w:firstLineChars="0"/>
        <w:jc w:val="both"/>
        <w:textAlignment w:val="auto"/>
      </w:pPr>
      <w:r>
        <w:rPr>
          <w:rFonts w:ascii="Arial" w:hAnsi="Arial" w:eastAsia="等线" w:cs="Arial"/>
          <w:sz w:val="22"/>
        </w:rPr>
        <w:t>各产业详细分析（按传统、新兴、未来产业分章节）：</w:t>
      </w:r>
      <w:r>
        <w:rPr>
          <w:rFonts w:ascii="Arial" w:hAnsi="Arial" w:eastAsia="等线" w:cs="Arial"/>
          <w:sz w:val="22"/>
        </w:rPr>
        <w:br w:type="textWrapping"/>
      </w:r>
      <w:r>
        <w:rPr>
          <w:rFonts w:ascii="Arial" w:hAnsi="Arial" w:eastAsia="等线" w:cs="Arial"/>
          <w:sz w:val="22"/>
        </w:rPr>
        <w:t xml:space="preserve">        </w:t>
      </w:r>
    </w:p>
    <w:p w14:paraId="6795394F">
      <w:pPr>
        <w:keepNext w:val="0"/>
        <w:keepLines w:val="0"/>
        <w:pageBreakBefore w:val="0"/>
        <w:widowControl w:val="0"/>
        <w:numPr>
          <w:ilvl w:val="0"/>
          <w:numId w:val="5"/>
        </w:numPr>
        <w:kinsoku/>
        <w:wordWrap/>
        <w:overflowPunct/>
        <w:topLinePunct w:val="0"/>
        <w:autoSpaceDE/>
        <w:autoSpaceDN/>
        <w:bidi w:val="0"/>
        <w:adjustRightInd/>
        <w:snapToGrid/>
        <w:spacing w:before="120" w:after="120" w:line="280" w:lineRule="exact"/>
        <w:ind w:left="0" w:leftChars="0" w:firstLine="440" w:firstLineChars="200"/>
        <w:jc w:val="both"/>
        <w:textAlignment w:val="auto"/>
      </w:pPr>
      <w:r>
        <w:rPr>
          <w:rFonts w:ascii="Arial" w:hAnsi="Arial" w:eastAsia="等线" w:cs="Arial"/>
          <w:sz w:val="22"/>
        </w:rPr>
        <w:t>产业画像（规模、结构、发展特征）；</w:t>
      </w:r>
    </w:p>
    <w:p w14:paraId="230BC097">
      <w:pPr>
        <w:keepNext w:val="0"/>
        <w:keepLines w:val="0"/>
        <w:pageBreakBefore w:val="0"/>
        <w:widowControl w:val="0"/>
        <w:numPr>
          <w:ilvl w:val="0"/>
          <w:numId w:val="5"/>
        </w:numPr>
        <w:kinsoku/>
        <w:wordWrap/>
        <w:overflowPunct/>
        <w:topLinePunct w:val="0"/>
        <w:autoSpaceDE/>
        <w:autoSpaceDN/>
        <w:bidi w:val="0"/>
        <w:adjustRightInd/>
        <w:snapToGrid/>
        <w:spacing w:before="120" w:after="120" w:line="280" w:lineRule="exact"/>
        <w:ind w:left="0" w:leftChars="0" w:firstLine="440" w:firstLineChars="200"/>
        <w:jc w:val="both"/>
        <w:textAlignment w:val="auto"/>
      </w:pPr>
      <w:r>
        <w:rPr>
          <w:rFonts w:ascii="Arial" w:hAnsi="Arial" w:eastAsia="等线" w:cs="Arial"/>
          <w:sz w:val="22"/>
        </w:rPr>
        <w:t>人才画像（规模、结构、需求、流动）；</w:t>
      </w:r>
    </w:p>
    <w:p w14:paraId="6BBF7DE6">
      <w:pPr>
        <w:keepNext w:val="0"/>
        <w:keepLines w:val="0"/>
        <w:pageBreakBefore w:val="0"/>
        <w:widowControl w:val="0"/>
        <w:numPr>
          <w:ilvl w:val="0"/>
          <w:numId w:val="5"/>
        </w:numPr>
        <w:kinsoku/>
        <w:wordWrap/>
        <w:overflowPunct/>
        <w:topLinePunct w:val="0"/>
        <w:autoSpaceDE/>
        <w:autoSpaceDN/>
        <w:bidi w:val="0"/>
        <w:adjustRightInd/>
        <w:snapToGrid/>
        <w:spacing w:before="120" w:after="120" w:line="280" w:lineRule="exact"/>
        <w:ind w:left="0" w:leftChars="0" w:firstLine="440" w:firstLineChars="200"/>
        <w:jc w:val="both"/>
        <w:textAlignment w:val="auto"/>
      </w:pPr>
      <w:r>
        <w:rPr>
          <w:rFonts w:ascii="Arial" w:hAnsi="Arial" w:eastAsia="等线" w:cs="Arial"/>
          <w:sz w:val="22"/>
        </w:rPr>
        <w:t>产业集群竞争优势分析（理论支撑、省内集群优势、国内外对比、优劣势总结）；</w:t>
      </w:r>
    </w:p>
    <w:p w14:paraId="23E0702C">
      <w:pPr>
        <w:keepNext w:val="0"/>
        <w:keepLines w:val="0"/>
        <w:pageBreakBefore w:val="0"/>
        <w:widowControl w:val="0"/>
        <w:numPr>
          <w:ilvl w:val="0"/>
          <w:numId w:val="5"/>
        </w:numPr>
        <w:kinsoku/>
        <w:wordWrap/>
        <w:overflowPunct/>
        <w:topLinePunct w:val="0"/>
        <w:autoSpaceDE/>
        <w:autoSpaceDN/>
        <w:bidi w:val="0"/>
        <w:adjustRightInd/>
        <w:snapToGrid/>
        <w:spacing w:before="120" w:after="120" w:line="280" w:lineRule="exact"/>
        <w:ind w:left="0" w:leftChars="0" w:firstLine="440" w:firstLineChars="200"/>
        <w:jc w:val="both"/>
        <w:textAlignment w:val="auto"/>
      </w:pPr>
      <w:r>
        <w:rPr>
          <w:rFonts w:ascii="Arial" w:hAnsi="Arial" w:eastAsia="等线" w:cs="Arial"/>
          <w:sz w:val="22"/>
        </w:rPr>
        <w:t>配套优惠政策梳理（政策类型、细节、适配性）。</w:t>
      </w:r>
    </w:p>
    <w:p w14:paraId="5A47D776">
      <w:pPr>
        <w:keepNext w:val="0"/>
        <w:keepLines w:val="0"/>
        <w:pageBreakBefore w:val="0"/>
        <w:widowControl w:val="0"/>
        <w:numPr>
          <w:ilvl w:val="0"/>
          <w:numId w:val="4"/>
        </w:numPr>
        <w:kinsoku/>
        <w:wordWrap/>
        <w:overflowPunct/>
        <w:topLinePunct w:val="0"/>
        <w:autoSpaceDE/>
        <w:autoSpaceDN/>
        <w:bidi w:val="0"/>
        <w:adjustRightInd/>
        <w:snapToGrid/>
        <w:spacing w:before="120" w:after="120" w:line="280" w:lineRule="exact"/>
        <w:ind w:left="425" w:leftChars="0" w:hanging="425" w:firstLineChars="0"/>
        <w:jc w:val="both"/>
        <w:textAlignment w:val="auto"/>
      </w:pPr>
      <w:r>
        <w:rPr>
          <w:rFonts w:ascii="Arial" w:hAnsi="Arial" w:eastAsia="等线" w:cs="Arial"/>
          <w:sz w:val="22"/>
        </w:rPr>
        <w:t>综合结论与建议：三大产业发展现状总结、核心竞争优势、存在的短板、政策优化建议（可选）、后续工作指引；</w:t>
      </w:r>
    </w:p>
    <w:p w14:paraId="1B76D380">
      <w:pPr>
        <w:keepNext w:val="0"/>
        <w:keepLines w:val="0"/>
        <w:pageBreakBefore w:val="0"/>
        <w:widowControl w:val="0"/>
        <w:numPr>
          <w:ilvl w:val="0"/>
          <w:numId w:val="4"/>
        </w:numPr>
        <w:kinsoku/>
        <w:wordWrap/>
        <w:overflowPunct/>
        <w:topLinePunct w:val="0"/>
        <w:autoSpaceDE/>
        <w:autoSpaceDN/>
        <w:bidi w:val="0"/>
        <w:adjustRightInd/>
        <w:snapToGrid/>
        <w:spacing w:before="120" w:after="120" w:line="280" w:lineRule="exact"/>
        <w:ind w:left="425" w:leftChars="0" w:hanging="425" w:firstLineChars="0"/>
        <w:jc w:val="both"/>
        <w:textAlignment w:val="auto"/>
      </w:pPr>
      <w:r>
        <w:rPr>
          <w:rFonts w:ascii="Arial" w:hAnsi="Arial" w:eastAsia="等线" w:cs="Arial"/>
          <w:sz w:val="22"/>
        </w:rPr>
        <w:t>附录：企业名录、数据表格、政策原文、理论说明等。</w:t>
      </w:r>
    </w:p>
    <w:p w14:paraId="06F96C76">
      <w:pPr>
        <w:keepNext w:val="0"/>
        <w:keepLines w:val="0"/>
        <w:pageBreakBefore w:val="0"/>
        <w:widowControl w:val="0"/>
        <w:kinsoku/>
        <w:wordWrap/>
        <w:overflowPunct/>
        <w:topLinePunct w:val="0"/>
        <w:autoSpaceDE/>
        <w:autoSpaceDN/>
        <w:bidi w:val="0"/>
        <w:adjustRightInd/>
        <w:snapToGrid/>
        <w:spacing w:before="480" w:after="480" w:line="280" w:lineRule="exact"/>
        <w:ind w:left="0"/>
        <w:jc w:val="left"/>
        <w:textAlignment w:val="auto"/>
        <w:rPr>
          <w:rFonts w:ascii="Arial" w:hAnsi="Arial" w:eastAsia="等线" w:cs="Arial"/>
          <w:b/>
          <w:sz w:val="28"/>
          <w:szCs w:val="28"/>
        </w:rPr>
      </w:pPr>
      <w:bookmarkStart w:id="18" w:name="heading_18"/>
      <w:r>
        <w:rPr>
          <w:rFonts w:ascii="Arial" w:hAnsi="Arial" w:eastAsia="等线" w:cs="Arial"/>
          <w:b/>
          <w:sz w:val="28"/>
          <w:szCs w:val="28"/>
        </w:rPr>
        <w:t>4.2 辅助产出物</w:t>
      </w:r>
      <w:bookmarkEnd w:id="18"/>
    </w:p>
    <w:p w14:paraId="3C8DB047">
      <w:pPr>
        <w:keepNext w:val="0"/>
        <w:keepLines w:val="0"/>
        <w:pageBreakBefore w:val="0"/>
        <w:widowControl w:val="0"/>
        <w:numPr>
          <w:ilvl w:val="0"/>
          <w:numId w:val="6"/>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数据汇总表：包含各产业企业名录、产值数据、政策清单等，按统一格式整理，便于查阅；</w:t>
      </w:r>
    </w:p>
    <w:p w14:paraId="75334CA0">
      <w:pPr>
        <w:keepNext w:val="0"/>
        <w:keepLines w:val="0"/>
        <w:pageBreakBefore w:val="0"/>
        <w:widowControl w:val="0"/>
        <w:numPr>
          <w:ilvl w:val="0"/>
          <w:numId w:val="6"/>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画像可视化材料：产业画像、人才画像的图表（如柱状图、饼图、思维导图），直观呈现分析结果；</w:t>
      </w:r>
    </w:p>
    <w:p w14:paraId="1DD176DE">
      <w:pPr>
        <w:keepNext w:val="0"/>
        <w:keepLines w:val="0"/>
        <w:pageBreakBefore w:val="0"/>
        <w:widowControl w:val="0"/>
        <w:numPr>
          <w:ilvl w:val="0"/>
          <w:numId w:val="6"/>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阶段性汇报材料：各阶段工作进展、核心成果、存在问题及解决建议（用于团队内部汇报）。</w:t>
      </w:r>
    </w:p>
    <w:p w14:paraId="1E712F29">
      <w:pPr>
        <w:keepNext w:val="0"/>
        <w:keepLines w:val="0"/>
        <w:pageBreakBefore w:val="0"/>
        <w:widowControl w:val="0"/>
        <w:kinsoku/>
        <w:wordWrap/>
        <w:overflowPunct/>
        <w:topLinePunct w:val="0"/>
        <w:autoSpaceDE/>
        <w:autoSpaceDN/>
        <w:bidi w:val="0"/>
        <w:adjustRightInd/>
        <w:snapToGrid/>
        <w:spacing w:before="480" w:after="480" w:line="280" w:lineRule="exact"/>
        <w:ind w:left="0"/>
        <w:jc w:val="left"/>
        <w:textAlignment w:val="auto"/>
        <w:rPr>
          <w:rFonts w:ascii="Arial" w:hAnsi="Arial" w:eastAsia="等线" w:cs="Arial"/>
          <w:b/>
          <w:sz w:val="28"/>
          <w:szCs w:val="28"/>
        </w:rPr>
      </w:pPr>
      <w:bookmarkStart w:id="19" w:name="heading_19"/>
      <w:r>
        <w:rPr>
          <w:rFonts w:ascii="Arial" w:hAnsi="Arial" w:eastAsia="等线" w:cs="Arial"/>
          <w:b/>
          <w:sz w:val="28"/>
          <w:szCs w:val="28"/>
        </w:rPr>
        <w:t>4.3 产出要求</w:t>
      </w:r>
      <w:bookmarkEnd w:id="19"/>
    </w:p>
    <w:p w14:paraId="2D94FF65">
      <w:pPr>
        <w:keepNext w:val="0"/>
        <w:keepLines w:val="0"/>
        <w:pageBreakBefore w:val="0"/>
        <w:widowControl w:val="0"/>
        <w:numPr>
          <w:ilvl w:val="0"/>
          <w:numId w:val="6"/>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格式规范：报告采用统一字体、排版，图表清晰、标注规范，附录完整；</w:t>
      </w:r>
    </w:p>
    <w:p w14:paraId="3EFE06DC">
      <w:pPr>
        <w:keepNext w:val="0"/>
        <w:keepLines w:val="0"/>
        <w:pageBreakBefore w:val="0"/>
        <w:widowControl w:val="0"/>
        <w:numPr>
          <w:ilvl w:val="0"/>
          <w:numId w:val="6"/>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内容严谨：数据准确、论据充分，分析逻辑清晰，避免主观臆断；</w:t>
      </w:r>
    </w:p>
    <w:p w14:paraId="3634350A">
      <w:pPr>
        <w:keepNext w:val="0"/>
        <w:keepLines w:val="0"/>
        <w:pageBreakBefore w:val="0"/>
        <w:widowControl w:val="0"/>
        <w:numPr>
          <w:ilvl w:val="0"/>
          <w:numId w:val="6"/>
        </w:numPr>
        <w:kinsoku/>
        <w:wordWrap/>
        <w:overflowPunct/>
        <w:topLinePunct w:val="0"/>
        <w:autoSpaceDE/>
        <w:autoSpaceDN/>
        <w:bidi w:val="0"/>
        <w:adjustRightInd/>
        <w:snapToGrid/>
        <w:spacing w:before="120" w:after="120" w:line="280" w:lineRule="exact"/>
        <w:ind w:left="420" w:leftChars="0" w:hanging="420" w:firstLineChars="0"/>
        <w:jc w:val="both"/>
        <w:textAlignment w:val="auto"/>
      </w:pPr>
      <w:r>
        <w:rPr>
          <w:rFonts w:ascii="Arial" w:hAnsi="Arial" w:eastAsia="等线" w:cs="Arial"/>
          <w:sz w:val="22"/>
        </w:rPr>
        <w:t>可复用性：数据表格、可视化材料可单独提取，便于后续查阅、修改和复用。</w:t>
      </w:r>
    </w:p>
    <w:p w14:paraId="0BA05254">
      <w:pPr>
        <w:keepNext w:val="0"/>
        <w:keepLines w:val="0"/>
        <w:pageBreakBefore w:val="0"/>
        <w:widowControl w:val="0"/>
        <w:numPr>
          <w:numId w:val="0"/>
        </w:numPr>
        <w:kinsoku/>
        <w:wordWrap/>
        <w:overflowPunct/>
        <w:topLinePunct w:val="0"/>
        <w:autoSpaceDE/>
        <w:autoSpaceDN/>
        <w:bidi w:val="0"/>
        <w:adjustRightInd/>
        <w:snapToGrid/>
        <w:spacing w:before="120" w:after="120" w:line="280" w:lineRule="exact"/>
        <w:jc w:val="both"/>
        <w:textAlignment w:val="auto"/>
        <w:rPr>
          <w:rFonts w:ascii="Arial" w:hAnsi="Arial" w:eastAsia="等线" w:cs="Arial"/>
          <w:sz w:val="22"/>
        </w:rPr>
      </w:pPr>
    </w:p>
    <w:p w14:paraId="2F2B8090">
      <w:pPr>
        <w:keepNext w:val="0"/>
        <w:keepLines w:val="0"/>
        <w:pageBreakBefore w:val="0"/>
        <w:widowControl w:val="0"/>
        <w:numPr>
          <w:numId w:val="0"/>
        </w:numPr>
        <w:kinsoku/>
        <w:wordWrap/>
        <w:overflowPunct/>
        <w:topLinePunct w:val="0"/>
        <w:autoSpaceDE/>
        <w:autoSpaceDN/>
        <w:bidi w:val="0"/>
        <w:adjustRightInd/>
        <w:snapToGrid/>
        <w:spacing w:before="120" w:after="120" w:line="280" w:lineRule="exact"/>
        <w:jc w:val="both"/>
        <w:textAlignment w:val="auto"/>
        <w:rPr>
          <w:rFonts w:ascii="Arial" w:hAnsi="Arial" w:eastAsia="等线" w:cs="Arial"/>
          <w:sz w:val="22"/>
        </w:rPr>
      </w:pPr>
    </w:p>
    <w:p w14:paraId="00000001">
      <w:pPr>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jc w:val="both"/>
        <w:rPr>
          <w:rFonts w:ascii="Google Sans" w:hAnsi="Google Sans" w:eastAsia="Google Sans" w:cs="Google Sans"/>
          <w:b/>
          <w:bCs/>
          <w:color w:val="1F1F1F"/>
        </w:rPr>
      </w:pPr>
      <w:bookmarkStart w:id="20" w:name="_GoBack"/>
      <w:bookmarkEnd w:id="20"/>
      <w:r>
        <w:rPr>
          <w:rFonts w:ascii="Google Sans" w:hAnsi="Google Sans" w:eastAsia="Google Sans" w:cs="Google Sans"/>
          <w:b/>
          <w:bCs/>
          <w:color w:val="1F1F1F"/>
          <w:rtl w:val="0"/>
        </w:rPr>
        <w:t>Project Task Framework for Guangdong Key Industry Analysis (Traditional + Emerging + Future Industries)</w:t>
      </w:r>
    </w:p>
    <w:p w14:paraId="00000002">
      <w:pPr>
        <w:pStyle w:val="2"/>
        <w:pBdr>
          <w:top w:val="none" w:color="auto" w:sz="0" w:space="0"/>
          <w:left w:val="none" w:color="auto" w:sz="0" w:space="0"/>
          <w:bottom w:val="none" w:color="auto" w:sz="0" w:space="0"/>
          <w:right w:val="none" w:color="auto" w:sz="0" w:space="0"/>
          <w:between w:val="none" w:color="auto" w:sz="0" w:space="0"/>
        </w:pBdr>
        <w:shd w:val="clear" w:fill="auto"/>
        <w:spacing w:before="127" w:after="120" w:line="275" w:lineRule="auto"/>
        <w:jc w:val="both"/>
        <w:rPr>
          <w:rFonts w:ascii="Google Sans" w:hAnsi="Google Sans" w:eastAsia="Google Sans" w:cs="Google Sans"/>
          <w:color w:val="1F1F1F"/>
        </w:rPr>
      </w:pPr>
      <w:r>
        <w:pict>
          <v:rect id="_x0000_i1025" o:spt="1" style="height:1.5pt;width:0pt;" fillcolor="#A0A0A0" filled="t" stroked="f" coordsize="21600,21600" o:hr="t" o:hrstd="t" o:hralign="center">
            <v:path/>
            <v:fill on="t" focussize="0,0"/>
            <v:stroke on="f"/>
            <v:imagedata o:title=""/>
            <o:lock v:ext="edit"/>
            <w10:wrap type="none"/>
            <w10:anchorlock/>
          </v:rect>
        </w:pict>
      </w:r>
      <w:r>
        <w:rPr>
          <w:rFonts w:ascii="Google Sans" w:hAnsi="Google Sans" w:eastAsia="Google Sans" w:cs="Google Sans"/>
          <w:color w:val="1F1F1F"/>
          <w:rtl w:val="0"/>
        </w:rPr>
        <w:t>I. General Provisions</w:t>
      </w:r>
    </w:p>
    <w:p w14:paraId="00000003">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jc w:val="both"/>
        <w:rPr>
          <w:rFonts w:ascii="Google Sans" w:hAnsi="Google Sans" w:eastAsia="Google Sans" w:cs="Google Sans"/>
          <w:color w:val="1F1F1F"/>
        </w:rPr>
      </w:pPr>
      <w:r>
        <w:rPr>
          <w:rFonts w:ascii="Google Sans" w:hAnsi="Google Sans" w:eastAsia="Google Sans" w:cs="Google Sans"/>
          <w:color w:val="1F1F1F"/>
          <w:rtl w:val="0"/>
        </w:rPr>
        <w:t>1.1 Project Background</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jc w:val="both"/>
        <w:rPr>
          <w:rFonts w:ascii="Google Sans" w:hAnsi="Google Sans" w:eastAsia="Google Sans" w:cs="Google Sans"/>
          <w:color w:val="1F1F1F"/>
        </w:rPr>
      </w:pPr>
      <w:r>
        <w:rPr>
          <w:rFonts w:ascii="Google Sans" w:hAnsi="Google Sans" w:eastAsia="Google Sans" w:cs="Google Sans"/>
          <w:color w:val="1F1F1F"/>
          <w:rtl w:val="0"/>
        </w:rPr>
        <w:t xml:space="preserve">Based on the three priority industrial categories (Traditional, Emerging, and Future Industries) defined in the </w:t>
      </w:r>
      <w:r>
        <w:rPr>
          <w:rFonts w:ascii="Google Sans" w:hAnsi="Google Sans" w:eastAsia="Google Sans" w:cs="Google Sans"/>
          <w:i/>
          <w:iCs/>
          <w:color w:val="1F1F1F"/>
          <w:rtl w:val="0"/>
        </w:rPr>
        <w:t>Guangdong Provincial 2026 Government Work Report</w:t>
      </w:r>
      <w:r>
        <w:rPr>
          <w:rFonts w:ascii="Google Sans" w:hAnsi="Google Sans" w:eastAsia="Google Sans" w:cs="Google Sans"/>
          <w:color w:val="1F1F1F"/>
          <w:rtl w:val="0"/>
        </w:rPr>
        <w:t xml:space="preserve"> and </w:t>
      </w:r>
      <w:r>
        <w:rPr>
          <w:rFonts w:ascii="Google Sans" w:hAnsi="Google Sans" w:eastAsia="Google Sans" w:cs="Google Sans"/>
          <w:i/>
          <w:iCs/>
          <w:color w:val="1F1F1F"/>
          <w:rtl w:val="0"/>
        </w:rPr>
        <w:t>High-Quality Development Report</w:t>
      </w:r>
      <w:r>
        <w:rPr>
          <w:rFonts w:ascii="Google Sans" w:hAnsi="Google Sans" w:eastAsia="Google Sans" w:cs="Google Sans"/>
          <w:color w:val="1F1F1F"/>
          <w:rtl w:val="0"/>
        </w:rPr>
        <w:t>, this project utilizes multi-platform data mining and in-depth analysis to comprehensively understand the development status, core competitiveness, and policy support of each industry within Guangdong. It aims to provide data-driven support and professional analysis for project decision-making and industrial layout optimization.</w:t>
      </w:r>
    </w:p>
    <w:p w14:paraId="00000005">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jc w:val="both"/>
        <w:rPr>
          <w:rFonts w:ascii="Google Sans" w:hAnsi="Google Sans" w:eastAsia="Google Sans" w:cs="Google Sans"/>
          <w:color w:val="1F1F1F"/>
        </w:rPr>
      </w:pPr>
      <w:r>
        <w:rPr>
          <w:rFonts w:ascii="Google Sans" w:hAnsi="Google Sans" w:eastAsia="Google Sans" w:cs="Google Sans"/>
          <w:color w:val="1F1F1F"/>
          <w:rtl w:val="0"/>
        </w:rPr>
        <w:t>1.2 Core Objectives</w:t>
      </w:r>
    </w:p>
    <w:p w14:paraId="00000006">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jc w:val="both"/>
      </w:pPr>
      <w:r>
        <w:rPr>
          <w:rFonts w:ascii="Google Sans" w:hAnsi="Google Sans" w:eastAsia="Google Sans" w:cs="Google Sans"/>
          <w:b/>
          <w:bCs/>
          <w:color w:val="1F1F1F"/>
          <w:rtl w:val="0"/>
        </w:rPr>
        <w:t>Comprehensive Profiling:</w:t>
      </w:r>
      <w:r>
        <w:rPr>
          <w:rFonts w:ascii="Google Sans" w:hAnsi="Google Sans" w:eastAsia="Google Sans" w:cs="Google Sans"/>
          <w:color w:val="1F1F1F"/>
          <w:rtl w:val="0"/>
        </w:rPr>
        <w:t xml:space="preserve"> Complete industrial and talent profiles to clarify the development foundation, scale, and characteristics of the three major industries in Guangdong.</w:t>
      </w:r>
    </w:p>
    <w:p w14:paraId="00000007">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jc w:val="both"/>
      </w:pPr>
      <w:r>
        <w:rPr>
          <w:rFonts w:ascii="Google Sans" w:hAnsi="Google Sans" w:eastAsia="Google Sans" w:cs="Google Sans"/>
          <w:b/>
          <w:bCs/>
          <w:color w:val="1F1F1F"/>
          <w:rtl w:val="0"/>
        </w:rPr>
        <w:t>Competitive Advantage Analysis:</w:t>
      </w:r>
      <w:r>
        <w:rPr>
          <w:rFonts w:ascii="Google Sans" w:hAnsi="Google Sans" w:eastAsia="Google Sans" w:cs="Google Sans"/>
          <w:color w:val="1F1F1F"/>
          <w:rtl w:val="0"/>
        </w:rPr>
        <w:t xml:space="preserve"> Utilize theoretical frameworks to analyze industrial cluster advantages and identify strengths and gaps through domestic and international benchmarking.</w:t>
      </w:r>
    </w:p>
    <w:p w14:paraId="00000008">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jc w:val="both"/>
      </w:pPr>
      <w:r>
        <w:rPr>
          <w:rFonts w:ascii="Google Sans" w:hAnsi="Google Sans" w:eastAsia="Google Sans" w:cs="Google Sans"/>
          <w:b/>
          <w:bCs/>
          <w:color w:val="1F1F1F"/>
          <w:rtl w:val="0"/>
        </w:rPr>
        <w:t>Policy Mapping:</w:t>
      </w:r>
      <w:r>
        <w:rPr>
          <w:rFonts w:ascii="Google Sans" w:hAnsi="Google Sans" w:eastAsia="Google Sans" w:cs="Google Sans"/>
          <w:color w:val="1F1F1F"/>
          <w:rtl w:val="0"/>
        </w:rPr>
        <w:t xml:space="preserve"> Categorize specific preferential policies in Guangdong, identifying implementation priorities and applicable scenarios.</w:t>
      </w:r>
    </w:p>
    <w:p w14:paraId="00000009">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jc w:val="both"/>
      </w:pPr>
      <w:r>
        <w:rPr>
          <w:rFonts w:ascii="Google Sans" w:hAnsi="Google Sans" w:eastAsia="Google Sans" w:cs="Google Sans"/>
          <w:b/>
          <w:bCs/>
          <w:color w:val="1F1F1F"/>
          <w:rtl w:val="0"/>
        </w:rPr>
        <w:t>Actionable Reporting:</w:t>
      </w:r>
      <w:r>
        <w:rPr>
          <w:rFonts w:ascii="Google Sans" w:hAnsi="Google Sans" w:eastAsia="Google Sans" w:cs="Google Sans"/>
          <w:color w:val="1F1F1F"/>
          <w:rtl w:val="0"/>
        </w:rPr>
        <w:t xml:space="preserve"> Produce a systematic, practical analysis report to provide clear guidance for the project team’s subsequent work.</w:t>
      </w:r>
    </w:p>
    <w:p w14:paraId="0000000A">
      <w:pPr>
        <w:pStyle w:val="3"/>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jc w:val="both"/>
        <w:rPr>
          <w:rFonts w:ascii="Google Sans" w:hAnsi="Google Sans" w:eastAsia="Google Sans" w:cs="Google Sans"/>
          <w:color w:val="1F1F1F"/>
        </w:rPr>
      </w:pPr>
      <w:r>
        <w:rPr>
          <w:rFonts w:ascii="Google Sans" w:hAnsi="Google Sans" w:eastAsia="Google Sans" w:cs="Google Sans"/>
          <w:color w:val="1F1F1F"/>
          <w:rtl w:val="0"/>
        </w:rPr>
        <w:t>1.3 Scope of Application</w:t>
      </w:r>
    </w:p>
    <w:p w14:paraId="0000000B">
      <w:pPr>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jc w:val="both"/>
        <w:rPr>
          <w:rFonts w:ascii="Google Sans" w:hAnsi="Google Sans" w:eastAsia="Google Sans" w:cs="Google Sans"/>
          <w:color w:val="1F1F1F"/>
        </w:rPr>
      </w:pPr>
      <w:r>
        <w:rPr>
          <w:rFonts w:ascii="Google Sans" w:hAnsi="Google Sans" w:eastAsia="Google Sans" w:cs="Google Sans"/>
          <w:color w:val="1F1F1F"/>
          <w:rtl w:val="0"/>
        </w:rPr>
        <w:t>This framework applies to all project team members involved in this industrial analysis, covering all sub-sectors of the traditional, emerging, and future industries (as specified in the industrial lists of the 2026 Guangdong Government reports).</w:t>
      </w:r>
    </w:p>
    <w:p w14:paraId="0000000C">
      <w:pPr>
        <w:pStyle w:val="2"/>
        <w:pBdr>
          <w:top w:val="none" w:color="auto" w:sz="0" w:space="0"/>
          <w:left w:val="none" w:color="auto" w:sz="0" w:space="0"/>
          <w:bottom w:val="none" w:color="auto" w:sz="0" w:space="0"/>
          <w:right w:val="none" w:color="auto" w:sz="0" w:space="0"/>
          <w:between w:val="none" w:color="auto" w:sz="0" w:space="0"/>
        </w:pBdr>
        <w:shd w:val="clear" w:fill="auto"/>
        <w:spacing w:before="127" w:after="120" w:line="275" w:lineRule="auto"/>
        <w:jc w:val="both"/>
        <w:rPr>
          <w:rFonts w:ascii="Google Sans" w:hAnsi="Google Sans" w:eastAsia="Google Sans" w:cs="Google Sans"/>
          <w:color w:val="1F1F1F"/>
        </w:rPr>
      </w:pPr>
      <w:r>
        <w:pict>
          <v:rect id="_x0000_i1026" o:spt="1" style="height:1.5pt;width:0pt;" fillcolor="#A0A0A0" filled="t" stroked="f" coordsize="21600,21600" o:hr="t" o:hrstd="t" o:hralign="center">
            <v:path/>
            <v:fill on="t" focussize="0,0"/>
            <v:stroke on="f"/>
            <v:imagedata o:title=""/>
            <o:lock v:ext="edit"/>
            <w10:wrap type="none"/>
            <w10:anchorlock/>
          </v:rect>
        </w:pict>
      </w:r>
      <w:r>
        <w:rPr>
          <w:rFonts w:ascii="Google Sans" w:hAnsi="Google Sans" w:eastAsia="Google Sans" w:cs="Google Sans"/>
          <w:color w:val="1F1F1F"/>
          <w:rtl w:val="0"/>
        </w:rPr>
        <w:t>II. Core Task Content (Iterative by Industry)</w:t>
      </w:r>
    </w:p>
    <w:p w14:paraId="0000000D">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jc w:val="both"/>
        <w:rPr>
          <w:rFonts w:ascii="Google Sans" w:hAnsi="Google Sans" w:eastAsia="Google Sans" w:cs="Google Sans"/>
          <w:color w:val="1F1F1F"/>
        </w:rPr>
      </w:pPr>
      <w:r>
        <w:rPr>
          <w:rFonts w:ascii="Google Sans" w:hAnsi="Google Sans" w:eastAsia="Google Sans" w:cs="Google Sans"/>
          <w:color w:val="1F1F1F"/>
          <w:rtl w:val="0"/>
        </w:rPr>
        <w:t>2.1 Basic Data Mining and Organization (Universal for all Industries)</w:t>
      </w:r>
    </w:p>
    <w:p w14:paraId="0000000E">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jc w:val="both"/>
      </w:pPr>
      <w:r>
        <w:rPr>
          <w:rFonts w:ascii="Google Sans" w:hAnsi="Google Sans" w:eastAsia="Google Sans" w:cs="Google Sans"/>
          <w:b/>
          <w:bCs/>
          <w:color w:val="1F1F1F"/>
          <w:rtl w:val="0"/>
        </w:rPr>
        <w:t>Enterprise Directory Mining:</w:t>
      </w:r>
      <w:r>
        <w:rPr>
          <w:rFonts w:ascii="Google Sans" w:hAnsi="Google Sans" w:eastAsia="Google Sans" w:cs="Google Sans"/>
          <w:color w:val="1F1F1F"/>
          <w:rtl w:val="0"/>
        </w:rPr>
        <w:t xml:space="preserve"> Collect complete lists of relevant enterprises in Guangdong (including enterprises above designated size, leading enterprises, and SMEs), specifying core information such as registration address, registered capital, date of establishment, main business, and industry status.</w:t>
      </w:r>
    </w:p>
    <w:p w14:paraId="0000000F">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jc w:val="both"/>
      </w:pPr>
      <w:r>
        <w:rPr>
          <w:rFonts w:ascii="Google Sans" w:hAnsi="Google Sans" w:eastAsia="Google Sans" w:cs="Google Sans"/>
          <w:b/>
          <w:bCs/>
          <w:color w:val="1F1F1F"/>
          <w:rtl w:val="0"/>
        </w:rPr>
        <w:t>Output Value Data:</w:t>
      </w:r>
      <w:r>
        <w:rPr>
          <w:rFonts w:ascii="Google Sans" w:hAnsi="Google Sans" w:eastAsia="Google Sans" w:cs="Google Sans"/>
          <w:color w:val="1F1F1F"/>
          <w:rtl w:val="0"/>
        </w:rPr>
        <w:t xml:space="preserve"> Statistics on annual output value, growth rate, and proportion (relative to Guangdong's total manufacturing output/GDP) for each industry and sub-sector. Distinguish contributions between leading enterprises and SMEs, and analyze output trends for the past three years (2024–2026).</w:t>
      </w:r>
    </w:p>
    <w:p w14:paraId="00000010">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jc w:val="both"/>
      </w:pPr>
      <w:r>
        <w:rPr>
          <w:rFonts w:ascii="Google Sans" w:hAnsi="Google Sans" w:eastAsia="Google Sans" w:cs="Google Sans"/>
          <w:b/>
          <w:bCs/>
          <w:color w:val="1F1F1F"/>
          <w:rtl w:val="0"/>
        </w:rPr>
        <w:t>Industrial Foundation Mapping:</w:t>
      </w:r>
      <w:r>
        <w:rPr>
          <w:rFonts w:ascii="Google Sans" w:hAnsi="Google Sans" w:eastAsia="Google Sans" w:cs="Google Sans"/>
          <w:color w:val="1F1F1F"/>
          <w:rtl w:val="0"/>
        </w:rPr>
        <w:t xml:space="preserve"> Map industrial layouts (key cities, industrial parks), supply chain completeness, core supporting facilities (R&amp;D platforms, production bases, logistics systems), and technical foundations (patent counts, core technological breakthroughs).</w:t>
      </w:r>
    </w:p>
    <w:p w14:paraId="00000011">
      <w:pPr>
        <w:pStyle w:val="3"/>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jc w:val="both"/>
        <w:rPr>
          <w:rFonts w:ascii="Google Sans" w:hAnsi="Google Sans" w:eastAsia="Google Sans" w:cs="Google Sans"/>
          <w:color w:val="1F1F1F"/>
        </w:rPr>
      </w:pPr>
      <w:r>
        <w:rPr>
          <w:rFonts w:ascii="Google Sans" w:hAnsi="Google Sans" w:eastAsia="Google Sans" w:cs="Google Sans"/>
          <w:color w:val="1F1F1F"/>
          <w:rtl w:val="0"/>
        </w:rPr>
        <w:t>2.2 Building Industrial and Talent Profiles</w:t>
      </w:r>
    </w:p>
    <w:p w14:paraId="00000012">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jc w:val="both"/>
        <w:rPr>
          <w:rFonts w:ascii="Google Sans" w:hAnsi="Google Sans" w:eastAsia="Google Sans" w:cs="Google Sans"/>
          <w:color w:val="1F1F1F"/>
        </w:rPr>
      </w:pPr>
      <w:r>
        <w:rPr>
          <w:rFonts w:ascii="Google Sans" w:hAnsi="Google Sans" w:eastAsia="Google Sans" w:cs="Google Sans"/>
          <w:color w:val="1F1F1F"/>
          <w:rtl w:val="0"/>
        </w:rPr>
        <w:t>2.2.1 Industrial Profiling</w:t>
      </w:r>
    </w:p>
    <w:p w14:paraId="00000013">
      <w:pPr>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jc w:val="both"/>
        <w:rPr>
          <w:rFonts w:ascii="Google Sans" w:hAnsi="Google Sans" w:eastAsia="Google Sans" w:cs="Google Sans"/>
          <w:color w:val="1F1F1F"/>
        </w:rPr>
      </w:pPr>
      <w:r>
        <w:rPr>
          <w:rFonts w:ascii="Google Sans" w:hAnsi="Google Sans" w:eastAsia="Google Sans" w:cs="Google Sans"/>
          <w:color w:val="1F1F1F"/>
          <w:rtl w:val="0"/>
        </w:rPr>
        <w:t>For each industrial category and sub-sector, construct a complete industrial profile including:</w:t>
      </w:r>
    </w:p>
    <w:p w14:paraId="00000014">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jc w:val="both"/>
      </w:pPr>
      <w:r>
        <w:rPr>
          <w:rFonts w:ascii="Google Sans" w:hAnsi="Google Sans" w:eastAsia="Google Sans" w:cs="Google Sans"/>
          <w:b/>
          <w:bCs/>
          <w:color w:val="1F1F1F"/>
          <w:rtl w:val="0"/>
        </w:rPr>
        <w:t>Scale Characteristics:</w:t>
      </w:r>
      <w:r>
        <w:rPr>
          <w:rFonts w:ascii="Google Sans" w:hAnsi="Google Sans" w:eastAsia="Google Sans" w:cs="Google Sans"/>
          <w:color w:val="1F1F1F"/>
          <w:rtl w:val="0"/>
        </w:rPr>
        <w:t xml:space="preserve"> Number of enterprises, output scale, industrial concentration (CR5/CR10), and regional distribution patterns.</w:t>
      </w:r>
    </w:p>
    <w:p w14:paraId="00000015">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jc w:val="both"/>
      </w:pPr>
      <w:r>
        <w:rPr>
          <w:rFonts w:ascii="Google Sans" w:hAnsi="Google Sans" w:eastAsia="Google Sans" w:cs="Google Sans"/>
          <w:b/>
          <w:bCs/>
          <w:color w:val="1F1F1F"/>
          <w:rtl w:val="0"/>
        </w:rPr>
        <w:t>Structural Characteristics:</w:t>
      </w:r>
      <w:r>
        <w:rPr>
          <w:rFonts w:ascii="Google Sans" w:hAnsi="Google Sans" w:eastAsia="Google Sans" w:cs="Google Sans"/>
          <w:color w:val="1F1F1F"/>
          <w:rtl w:val="0"/>
        </w:rPr>
        <w:t xml:space="preserve"> Upstream/downstream distribution, proportion of core segments (R&amp;D, production, sales), and enterprise type distribution (SOEs, private enterprises, foreign-funded enterprises).</w:t>
      </w:r>
    </w:p>
    <w:p w14:paraId="00000016">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jc w:val="both"/>
      </w:pPr>
      <w:r>
        <w:rPr>
          <w:rFonts w:ascii="Google Sans" w:hAnsi="Google Sans" w:eastAsia="Google Sans" w:cs="Google Sans"/>
          <w:b/>
          <w:bCs/>
          <w:color w:val="1F1F1F"/>
          <w:rtl w:val="0"/>
        </w:rPr>
        <w:t>Development Characteristics:</w:t>
      </w:r>
      <w:r>
        <w:rPr>
          <w:rFonts w:ascii="Google Sans" w:hAnsi="Google Sans" w:eastAsia="Google Sans" w:cs="Google Sans"/>
          <w:color w:val="1F1F1F"/>
          <w:rtl w:val="0"/>
        </w:rPr>
        <w:t xml:space="preserve"> Growth rate, pace of technological iteration, market demand direction, and core pain points.</w:t>
      </w:r>
    </w:p>
    <w:p w14:paraId="00000017">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jc w:val="both"/>
      </w:pPr>
      <w:r>
        <w:rPr>
          <w:rFonts w:ascii="Google Sans" w:hAnsi="Google Sans" w:eastAsia="Google Sans" w:cs="Google Sans"/>
          <w:b/>
          <w:bCs/>
          <w:color w:val="1F1F1F"/>
          <w:rtl w:val="0"/>
        </w:rPr>
        <w:t>Key Indicators:</w:t>
      </w:r>
      <w:r>
        <w:rPr>
          <w:rFonts w:ascii="Google Sans" w:hAnsi="Google Sans" w:eastAsia="Google Sans" w:cs="Google Sans"/>
          <w:color w:val="1F1F1F"/>
          <w:rtl w:val="0"/>
        </w:rPr>
        <w:t xml:space="preserve"> Refine indicators based on industry traits (e.g., digital penetration for traditional industries, R&amp;D intensity for emerging industries, patent growth rates for future industries).</w:t>
      </w:r>
    </w:p>
    <w:p w14:paraId="00000018">
      <w:pPr>
        <w:pStyle w:val="4"/>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jc w:val="both"/>
        <w:rPr>
          <w:rFonts w:ascii="Google Sans" w:hAnsi="Google Sans" w:eastAsia="Google Sans" w:cs="Google Sans"/>
          <w:color w:val="1F1F1F"/>
        </w:rPr>
      </w:pPr>
      <w:r>
        <w:rPr>
          <w:rFonts w:ascii="Google Sans" w:hAnsi="Google Sans" w:eastAsia="Google Sans" w:cs="Google Sans"/>
          <w:color w:val="1F1F1F"/>
          <w:rtl w:val="0"/>
        </w:rPr>
        <w:t>2.2.2 Talent Profiling</w:t>
      </w:r>
    </w:p>
    <w:p w14:paraId="00000019">
      <w:pPr>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jc w:val="both"/>
        <w:rPr>
          <w:rFonts w:ascii="Google Sans" w:hAnsi="Google Sans" w:eastAsia="Google Sans" w:cs="Google Sans"/>
          <w:color w:val="1F1F1F"/>
        </w:rPr>
      </w:pPr>
      <w:r>
        <w:rPr>
          <w:rFonts w:ascii="Google Sans" w:hAnsi="Google Sans" w:eastAsia="Google Sans" w:cs="Google Sans"/>
          <w:color w:val="1F1F1F"/>
          <w:rtl w:val="0"/>
        </w:rPr>
        <w:t>Construct talent profiles matching industrial needs, including:</w:t>
      </w:r>
    </w:p>
    <w:p w14:paraId="0000001A">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jc w:val="both"/>
      </w:pPr>
      <w:r>
        <w:rPr>
          <w:rFonts w:ascii="Google Sans" w:hAnsi="Google Sans" w:eastAsia="Google Sans" w:cs="Google Sans"/>
          <w:b/>
          <w:bCs/>
          <w:color w:val="1F1F1F"/>
          <w:rtl w:val="0"/>
        </w:rPr>
        <w:t>Scale and Structure:</w:t>
      </w:r>
      <w:r>
        <w:rPr>
          <w:rFonts w:ascii="Google Sans" w:hAnsi="Google Sans" w:eastAsia="Google Sans" w:cs="Google Sans"/>
          <w:color w:val="1F1F1F"/>
          <w:rtl w:val="0"/>
        </w:rPr>
        <w:t xml:space="preserve"> Total workforce, educational background (ratio of Bachelor’s/Master’s/PhD), professional titles, and age structure.</w:t>
      </w:r>
    </w:p>
    <w:p w14:paraId="0000001B">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jc w:val="both"/>
      </w:pPr>
      <w:r>
        <w:rPr>
          <w:rFonts w:ascii="Google Sans" w:hAnsi="Google Sans" w:eastAsia="Google Sans" w:cs="Google Sans"/>
          <w:b/>
          <w:bCs/>
          <w:color w:val="1F1F1F"/>
          <w:rtl w:val="0"/>
        </w:rPr>
        <w:t>Core Talent Demand:</w:t>
      </w:r>
      <w:r>
        <w:rPr>
          <w:rFonts w:ascii="Google Sans" w:hAnsi="Google Sans" w:eastAsia="Google Sans" w:cs="Google Sans"/>
          <w:color w:val="1F1F1F"/>
          <w:rtl w:val="0"/>
        </w:rPr>
        <w:t xml:space="preserve"> Types of talent in short supply (e.g., IC R&amp;D talent for emerging industries, Embodied AI engineers for future industries, digital transformation experts for traditional industries), skill requirements, and experience levels.</w:t>
      </w:r>
    </w:p>
    <w:p w14:paraId="0000001C">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jc w:val="both"/>
      </w:pPr>
      <w:r>
        <w:rPr>
          <w:rFonts w:ascii="Google Sans" w:hAnsi="Google Sans" w:eastAsia="Google Sans" w:cs="Google Sans"/>
          <w:b/>
          <w:bCs/>
          <w:color w:val="1F1F1F"/>
          <w:rtl w:val="0"/>
        </w:rPr>
        <w:t>Distribution and Mobility:</w:t>
      </w:r>
      <w:r>
        <w:rPr>
          <w:rFonts w:ascii="Google Sans" w:hAnsi="Google Sans" w:eastAsia="Google Sans" w:cs="Google Sans"/>
          <w:color w:val="1F1F1F"/>
          <w:rtl w:val="0"/>
        </w:rPr>
        <w:t xml:space="preserve"> Talent concentration areas (key cities/parks), mobility trends, and school-enterprise cooperative training.</w:t>
      </w:r>
    </w:p>
    <w:p w14:paraId="0000001D">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jc w:val="both"/>
      </w:pPr>
      <w:r>
        <w:rPr>
          <w:rFonts w:ascii="Google Sans" w:hAnsi="Google Sans" w:eastAsia="Google Sans" w:cs="Google Sans"/>
          <w:b/>
          <w:bCs/>
          <w:color w:val="1F1F1F"/>
          <w:rtl w:val="0"/>
        </w:rPr>
        <w:t>Policy Adaptability:</w:t>
      </w:r>
      <w:r>
        <w:rPr>
          <w:rFonts w:ascii="Google Sans" w:hAnsi="Google Sans" w:eastAsia="Google Sans" w:cs="Google Sans"/>
          <w:color w:val="1F1F1F"/>
          <w:rtl w:val="0"/>
        </w:rPr>
        <w:t xml:space="preserve"> Coverage of existing talent policies for various industries, salary levels, and industry competitiveness.</w:t>
      </w:r>
    </w:p>
    <w:p w14:paraId="0000001E">
      <w:pPr>
        <w:pStyle w:val="3"/>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jc w:val="both"/>
        <w:rPr>
          <w:rFonts w:ascii="Google Sans" w:hAnsi="Google Sans" w:eastAsia="Google Sans" w:cs="Google Sans"/>
          <w:color w:val="1F1F1F"/>
        </w:rPr>
      </w:pPr>
      <w:r>
        <w:rPr>
          <w:rFonts w:ascii="Google Sans" w:hAnsi="Google Sans" w:eastAsia="Google Sans" w:cs="Google Sans"/>
          <w:color w:val="1F1F1F"/>
          <w:rtl w:val="0"/>
        </w:rPr>
        <w:t>2.3 Industrial Cluster Competitive Advantage Analysis</w:t>
      </w:r>
    </w:p>
    <w:p w14:paraId="0000001F">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jc w:val="both"/>
      </w:pPr>
      <w:r>
        <w:rPr>
          <w:rFonts w:ascii="Google Sans" w:hAnsi="Google Sans" w:eastAsia="Google Sans" w:cs="Google Sans"/>
          <w:b/>
          <w:bCs/>
          <w:color w:val="1F1F1F"/>
          <w:rtl w:val="0"/>
        </w:rPr>
        <w:t>Theoretical Foundation:</w:t>
      </w:r>
      <w:r>
        <w:rPr>
          <w:rFonts w:ascii="Google Sans" w:hAnsi="Google Sans" w:eastAsia="Google Sans" w:cs="Google Sans"/>
          <w:color w:val="1F1F1F"/>
          <w:rtl w:val="0"/>
        </w:rPr>
        <w:t xml:space="preserve"> Explicitly define the core theories used (e.g., Industrial Cluster Theory, Porter’s Five Forces, Diamond Model, Comparative Advantage) to ensure rigorous logic.</w:t>
      </w:r>
    </w:p>
    <w:p w14:paraId="00000020">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jc w:val="both"/>
      </w:pPr>
      <w:r>
        <w:rPr>
          <w:rFonts w:ascii="Google Sans" w:hAnsi="Google Sans" w:eastAsia="Google Sans" w:cs="Google Sans"/>
          <w:b/>
          <w:bCs/>
          <w:color w:val="1F1F1F"/>
          <w:rtl w:val="0"/>
        </w:rPr>
        <w:t>Intra-province Cluster Analysis:</w:t>
      </w:r>
      <w:r>
        <w:rPr>
          <w:rFonts w:ascii="Google Sans" w:hAnsi="Google Sans" w:eastAsia="Google Sans" w:cs="Google Sans"/>
          <w:color w:val="1F1F1F"/>
          <w:rtl w:val="0"/>
        </w:rPr>
        <w:t xml:space="preserve"> Analyze core clusters (e.g., Shenzhen Integrated Circuits, Zhuhai New Energy) focusing on supply chain completeness, the leading effect of anchor enterprises, innovation capabilities, policy support, and geographical advantages.</w:t>
      </w:r>
    </w:p>
    <w:p w14:paraId="00000021">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jc w:val="both"/>
      </w:pPr>
      <w:r>
        <w:rPr>
          <w:rFonts w:ascii="Google Sans" w:hAnsi="Google Sans" w:eastAsia="Google Sans" w:cs="Google Sans"/>
          <w:b/>
          <w:bCs/>
          <w:color w:val="1F1F1F"/>
          <w:rtl w:val="0"/>
        </w:rPr>
        <w:t>Domestic and International Benchmarking:</w:t>
      </w:r>
    </w:p>
    <w:p w14:paraId="00000022">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990" w:hanging="360"/>
        <w:jc w:val="both"/>
      </w:pPr>
      <w:r>
        <w:rPr>
          <w:rFonts w:ascii="Google Sans" w:hAnsi="Google Sans" w:eastAsia="Google Sans" w:cs="Google Sans"/>
          <w:b/>
          <w:bCs/>
          <w:color w:val="1F1F1F"/>
          <w:rtl w:val="0"/>
        </w:rPr>
        <w:t>Domestic Comparison:</w:t>
      </w:r>
      <w:r>
        <w:rPr>
          <w:rFonts w:ascii="Google Sans" w:hAnsi="Google Sans" w:eastAsia="Google Sans" w:cs="Google Sans"/>
          <w:color w:val="1F1F1F"/>
          <w:rtl w:val="0"/>
        </w:rPr>
        <w:t xml:space="preserve"> Benchmarking against advanced provinces/cities (e.g., Jiangsu, Zhejiang, Shanghai) regarding industrial scale, technology, cluster competitiveness, and talent reserves.</w:t>
      </w:r>
    </w:p>
    <w:p w14:paraId="00000023">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990" w:hanging="360"/>
        <w:jc w:val="both"/>
      </w:pPr>
      <w:r>
        <w:rPr>
          <w:rFonts w:ascii="Google Sans" w:hAnsi="Google Sans" w:eastAsia="Google Sans" w:cs="Google Sans"/>
          <w:b/>
          <w:bCs/>
          <w:color w:val="1F1F1F"/>
          <w:rtl w:val="0"/>
        </w:rPr>
        <w:t>International Comparison:</w:t>
      </w:r>
      <w:r>
        <w:rPr>
          <w:rFonts w:ascii="Google Sans" w:hAnsi="Google Sans" w:eastAsia="Google Sans" w:cs="Google Sans"/>
          <w:color w:val="1F1F1F"/>
          <w:rtl w:val="0"/>
        </w:rPr>
        <w:t xml:space="preserve"> Benchmarking against leading global regions (e.g., USA, Germany, Japan) regarding technical barriers, cluster development models, and policy support systems.</w:t>
      </w:r>
    </w:p>
    <w:p w14:paraId="00000024">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jc w:val="both"/>
      </w:pPr>
      <w:r>
        <w:rPr>
          <w:rFonts w:ascii="Google Sans" w:hAnsi="Google Sans" w:eastAsia="Google Sans" w:cs="Google Sans"/>
          <w:b/>
          <w:bCs/>
          <w:color w:val="1F1F1F"/>
          <w:rtl w:val="0"/>
        </w:rPr>
        <w:t>SWOT Synthesis:</w:t>
      </w:r>
      <w:r>
        <w:rPr>
          <w:rFonts w:ascii="Google Sans" w:hAnsi="Google Sans" w:eastAsia="Google Sans" w:cs="Google Sans"/>
          <w:color w:val="1F1F1F"/>
          <w:rtl w:val="0"/>
        </w:rPr>
        <w:t xml:space="preserve"> Summarize core competitive advantages and sustainability, while identifying current bottlenecks (e.g., technical hurdles, talent gaps, weak links in the supply chain).</w:t>
      </w:r>
    </w:p>
    <w:p w14:paraId="00000025">
      <w:pPr>
        <w:pStyle w:val="3"/>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jc w:val="both"/>
        <w:rPr>
          <w:rFonts w:ascii="Google Sans" w:hAnsi="Google Sans" w:eastAsia="Google Sans" w:cs="Google Sans"/>
          <w:color w:val="1F1F1F"/>
        </w:rPr>
      </w:pPr>
      <w:r>
        <w:rPr>
          <w:rFonts w:ascii="Google Sans" w:hAnsi="Google Sans" w:eastAsia="Google Sans" w:cs="Google Sans"/>
          <w:color w:val="1F1F1F"/>
          <w:rtl w:val="0"/>
        </w:rPr>
        <w:t>2.4 Preferential Policy Mapping</w:t>
      </w:r>
    </w:p>
    <w:p w14:paraId="00000026">
      <w:pPr>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jc w:val="both"/>
        <w:rPr>
          <w:rFonts w:ascii="Google Sans" w:hAnsi="Google Sans" w:eastAsia="Google Sans" w:cs="Google Sans"/>
          <w:color w:val="1F1F1F"/>
        </w:rPr>
      </w:pPr>
      <w:r>
        <w:rPr>
          <w:rFonts w:ascii="Google Sans" w:hAnsi="Google Sans" w:eastAsia="Google Sans" w:cs="Google Sans"/>
          <w:color w:val="1F1F1F"/>
          <w:rtl w:val="0"/>
        </w:rPr>
        <w:t>Systematically sort specific preferential policies in Guangdong (Provincial and Municipal levels):</w:t>
      </w:r>
    </w:p>
    <w:p w14:paraId="00000027">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jc w:val="both"/>
      </w:pPr>
      <w:r>
        <w:rPr>
          <w:rFonts w:ascii="Google Sans" w:hAnsi="Google Sans" w:eastAsia="Google Sans" w:cs="Google Sans"/>
          <w:b/>
          <w:bCs/>
          <w:color w:val="1F1F1F"/>
          <w:rtl w:val="0"/>
        </w:rPr>
        <w:t>Policy Types:</w:t>
      </w:r>
      <w:r>
        <w:rPr>
          <w:rFonts w:ascii="Google Sans" w:hAnsi="Google Sans" w:eastAsia="Google Sans" w:cs="Google Sans"/>
          <w:color w:val="1F1F1F"/>
          <w:rtl w:val="0"/>
        </w:rPr>
        <w:t xml:space="preserve"> R&amp;D subsidies, tax incentives, land support, financing concessions, talent subsidies, and industrial park support.</w:t>
      </w:r>
    </w:p>
    <w:p w14:paraId="00000028">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jc w:val="both"/>
      </w:pPr>
      <w:r>
        <w:rPr>
          <w:rFonts w:ascii="Google Sans" w:hAnsi="Google Sans" w:eastAsia="Google Sans" w:cs="Google Sans"/>
          <w:b/>
          <w:bCs/>
          <w:color w:val="1F1F1F"/>
          <w:rtl w:val="0"/>
        </w:rPr>
        <w:t>Policy Details:</w:t>
      </w:r>
      <w:r>
        <w:rPr>
          <w:rFonts w:ascii="Google Sans" w:hAnsi="Google Sans" w:eastAsia="Google Sans" w:cs="Google Sans"/>
          <w:color w:val="1F1F1F"/>
          <w:rtl w:val="0"/>
        </w:rPr>
        <w:t xml:space="preserve"> Eligible subjects, application conditions, subsidy standards, application procedures, and validity periods.</w:t>
      </w:r>
    </w:p>
    <w:p w14:paraId="00000029">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jc w:val="both"/>
      </w:pPr>
      <w:r>
        <w:rPr>
          <w:rFonts w:ascii="Google Sans" w:hAnsi="Google Sans" w:eastAsia="Google Sans" w:cs="Google Sans"/>
          <w:b/>
          <w:bCs/>
          <w:color w:val="1F1F1F"/>
          <w:rtl w:val="0"/>
        </w:rPr>
        <w:t>Policy Fit:</w:t>
      </w:r>
      <w:r>
        <w:rPr>
          <w:rFonts w:ascii="Google Sans" w:hAnsi="Google Sans" w:eastAsia="Google Sans" w:cs="Google Sans"/>
          <w:color w:val="1F1F1F"/>
          <w:rtl w:val="0"/>
        </w:rPr>
        <w:t xml:space="preserve"> Analyze the alignment between policies and specific industries/enterprise types to identify key implementation priorities and potential beneficiaries.</w:t>
      </w:r>
    </w:p>
    <w:p w14:paraId="0000002A">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jc w:val="both"/>
      </w:pPr>
      <w:r>
        <w:rPr>
          <w:rFonts w:ascii="Google Sans" w:hAnsi="Google Sans" w:eastAsia="Google Sans" w:cs="Google Sans"/>
          <w:b/>
          <w:bCs/>
          <w:color w:val="1F1F1F"/>
          <w:rtl w:val="0"/>
        </w:rPr>
        <w:t>Policy Comparison:</w:t>
      </w:r>
      <w:r>
        <w:rPr>
          <w:rFonts w:ascii="Google Sans" w:hAnsi="Google Sans" w:eastAsia="Google Sans" w:cs="Google Sans"/>
          <w:color w:val="1F1F1F"/>
          <w:rtl w:val="0"/>
        </w:rPr>
        <w:t xml:space="preserve"> Contrast Guangdong’s support systems with domestic/international counterparts and provide preliminary suggestions for policy optimization.</w:t>
      </w:r>
    </w:p>
    <w:p w14:paraId="0000002B">
      <w:pPr>
        <w:pStyle w:val="2"/>
        <w:pBdr>
          <w:top w:val="none" w:color="auto" w:sz="0" w:space="0"/>
          <w:left w:val="none" w:color="auto" w:sz="0" w:space="0"/>
          <w:bottom w:val="none" w:color="auto" w:sz="0" w:space="0"/>
          <w:right w:val="none" w:color="auto" w:sz="0" w:space="0"/>
          <w:between w:val="none" w:color="auto" w:sz="0" w:space="0"/>
        </w:pBdr>
        <w:shd w:val="clear" w:fill="auto"/>
        <w:spacing w:before="127" w:after="120" w:line="275" w:lineRule="auto"/>
        <w:jc w:val="both"/>
        <w:rPr>
          <w:rFonts w:ascii="Google Sans" w:hAnsi="Google Sans" w:eastAsia="Google Sans" w:cs="Google Sans"/>
          <w:color w:val="1F1F1F"/>
        </w:rPr>
      </w:pPr>
      <w:r>
        <w:pict>
          <v:rect id="_x0000_i1027" o:spt="1" style="height:1.5pt;width:0pt;" fillcolor="#A0A0A0" filled="t" stroked="f" coordsize="21600,21600" o:hr="t" o:hrstd="t" o:hralign="center">
            <v:path/>
            <v:fill on="t" focussize="0,0"/>
            <v:stroke on="f"/>
            <v:imagedata o:title=""/>
            <o:lock v:ext="edit"/>
            <w10:wrap type="none"/>
            <w10:anchorlock/>
          </v:rect>
        </w:pict>
      </w:r>
      <w:r>
        <w:rPr>
          <w:rFonts w:ascii="Google Sans" w:hAnsi="Google Sans" w:eastAsia="Google Sans" w:cs="Google Sans"/>
          <w:color w:val="1F1F1F"/>
          <w:rtl w:val="0"/>
        </w:rPr>
        <w:t>III. Project Execution Requirements</w:t>
      </w:r>
    </w:p>
    <w:p w14:paraId="0000002C">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jc w:val="both"/>
        <w:rPr>
          <w:rFonts w:ascii="Google Sans" w:hAnsi="Google Sans" w:eastAsia="Google Sans" w:cs="Google Sans"/>
          <w:color w:val="1F1F1F"/>
        </w:rPr>
      </w:pPr>
      <w:r>
        <w:rPr>
          <w:rFonts w:ascii="Google Sans" w:hAnsi="Google Sans" w:eastAsia="Google Sans" w:cs="Google Sans"/>
          <w:color w:val="1F1F1F"/>
          <w:rtl w:val="0"/>
        </w:rPr>
        <w:t>3.1 Data Requirements</w:t>
      </w:r>
    </w:p>
    <w:p w14:paraId="0000002D">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jc w:val="both"/>
      </w:pPr>
      <w:r>
        <w:rPr>
          <w:rFonts w:ascii="Google Sans" w:hAnsi="Google Sans" w:eastAsia="Google Sans" w:cs="Google Sans"/>
          <w:b/>
          <w:bCs/>
          <w:color w:val="1F1F1F"/>
          <w:rtl w:val="0"/>
        </w:rPr>
        <w:t>Authenticity:</w:t>
      </w:r>
      <w:r>
        <w:rPr>
          <w:rFonts w:ascii="Google Sans" w:hAnsi="Google Sans" w:eastAsia="Google Sans" w:cs="Google Sans"/>
          <w:color w:val="1F1F1F"/>
          <w:rtl w:val="0"/>
        </w:rPr>
        <w:t xml:space="preserve"> Sources must be authoritative and traceable (Priority: official government websites, statistical yearbooks, industry association reports, and databases like Qichacha, Wind, and CEIC).</w:t>
      </w:r>
    </w:p>
    <w:p w14:paraId="0000002E">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jc w:val="both"/>
      </w:pPr>
      <w:r>
        <w:rPr>
          <w:rFonts w:ascii="Google Sans" w:hAnsi="Google Sans" w:eastAsia="Google Sans" w:cs="Google Sans"/>
          <w:b/>
          <w:bCs/>
          <w:color w:val="1F1F1F"/>
          <w:rtl w:val="0"/>
        </w:rPr>
        <w:t>Comprehensiveness:</w:t>
      </w:r>
      <w:r>
        <w:rPr>
          <w:rFonts w:ascii="Google Sans" w:hAnsi="Google Sans" w:eastAsia="Google Sans" w:cs="Google Sans"/>
          <w:color w:val="1F1F1F"/>
          <w:rtl w:val="0"/>
        </w:rPr>
        <w:t xml:space="preserve"> Cover all sub-sectors to avoid omitting core enterprises, key data, or vital policies.</w:t>
      </w:r>
    </w:p>
    <w:p w14:paraId="0000002F">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jc w:val="both"/>
      </w:pPr>
      <w:r>
        <w:rPr>
          <w:rFonts w:ascii="Google Sans" w:hAnsi="Google Sans" w:eastAsia="Google Sans" w:cs="Google Sans"/>
          <w:b/>
          <w:bCs/>
          <w:color w:val="1F1F1F"/>
          <w:rtl w:val="0"/>
        </w:rPr>
        <w:t>Timeliness:</w:t>
      </w:r>
      <w:r>
        <w:rPr>
          <w:rFonts w:ascii="Google Sans" w:hAnsi="Google Sans" w:eastAsia="Google Sans" w:cs="Google Sans"/>
          <w:color w:val="1F1F1F"/>
          <w:rtl w:val="0"/>
        </w:rPr>
        <w:t xml:space="preserve"> Prioritize the latest 2026 data, supplemented by 2024–2025 data for trend analysis.</w:t>
      </w:r>
    </w:p>
    <w:p w14:paraId="00000030">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jc w:val="both"/>
      </w:pPr>
      <w:r>
        <w:rPr>
          <w:rFonts w:ascii="Google Sans" w:hAnsi="Google Sans" w:eastAsia="Google Sans" w:cs="Google Sans"/>
          <w:b/>
          <w:bCs/>
          <w:color w:val="1F1F1F"/>
          <w:rtl w:val="0"/>
        </w:rPr>
        <w:t>Standardization:</w:t>
      </w:r>
      <w:r>
        <w:rPr>
          <w:rFonts w:ascii="Google Sans" w:hAnsi="Google Sans" w:eastAsia="Google Sans" w:cs="Google Sans"/>
          <w:color w:val="1F1F1F"/>
          <w:rtl w:val="0"/>
        </w:rPr>
        <w:t xml:space="preserve"> Use unified formats, units, and statistical definitions to facilitate aggregation and comparison.</w:t>
      </w:r>
    </w:p>
    <w:p w14:paraId="00000031">
      <w:pPr>
        <w:pStyle w:val="3"/>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jc w:val="both"/>
        <w:rPr>
          <w:rFonts w:ascii="Google Sans" w:hAnsi="Google Sans" w:eastAsia="Google Sans" w:cs="Google Sans"/>
          <w:color w:val="1F1F1F"/>
        </w:rPr>
      </w:pPr>
      <w:r>
        <w:rPr>
          <w:rFonts w:ascii="Google Sans" w:hAnsi="Google Sans" w:eastAsia="Google Sans" w:cs="Google Sans"/>
          <w:color w:val="1F1F1F"/>
          <w:rtl w:val="0"/>
        </w:rPr>
        <w:t>3.2 Theoretical Requirements</w:t>
      </w:r>
    </w:p>
    <w:p w14:paraId="00000032">
      <w:pPr>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jc w:val="both"/>
        <w:rPr>
          <w:rFonts w:ascii="Google Sans" w:hAnsi="Google Sans" w:eastAsia="Google Sans" w:cs="Google Sans"/>
          <w:color w:val="1F1F1F"/>
        </w:rPr>
      </w:pPr>
      <w:r>
        <w:rPr>
          <w:rFonts w:ascii="Google Sans" w:hAnsi="Google Sans" w:eastAsia="Google Sans" w:cs="Google Sans"/>
          <w:color w:val="1F1F1F"/>
          <w:rtl w:val="0"/>
        </w:rPr>
        <w:t>Analysis must rely on 1–2 core theories. Application must be accurate and grounded in industrial reality, avoiding a disconnect between theory and analysis.</w:t>
      </w:r>
    </w:p>
    <w:p w14:paraId="00000033">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jc w:val="both"/>
        <w:rPr>
          <w:rFonts w:ascii="Google Sans" w:hAnsi="Google Sans" w:eastAsia="Google Sans" w:cs="Google Sans"/>
          <w:color w:val="1F1F1F"/>
        </w:rPr>
      </w:pPr>
      <w:r>
        <w:rPr>
          <w:rFonts w:ascii="Google Sans" w:hAnsi="Google Sans" w:eastAsia="Google Sans" w:cs="Google Sans"/>
          <w:color w:val="1F1F1F"/>
          <w:rtl w:val="0"/>
        </w:rPr>
        <w:t>3.3 Analytical Requirements</w:t>
      </w:r>
    </w:p>
    <w:p w14:paraId="00000034">
      <w:pPr>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jc w:val="both"/>
      </w:pPr>
      <w:r>
        <w:rPr>
          <w:rFonts w:ascii="Google Sans" w:hAnsi="Google Sans" w:eastAsia="Google Sans" w:cs="Google Sans"/>
          <w:b/>
          <w:bCs/>
          <w:color w:val="1F1F1F"/>
          <w:rtl w:val="0"/>
        </w:rPr>
        <w:t>Logical Flow:</w:t>
      </w:r>
      <w:r>
        <w:rPr>
          <w:rFonts w:ascii="Google Sans" w:hAnsi="Google Sans" w:eastAsia="Google Sans" w:cs="Google Sans"/>
          <w:color w:val="1F1F1F"/>
          <w:rtl w:val="0"/>
        </w:rPr>
        <w:t xml:space="preserve"> The process must be progressive—from raw data to profiling, then to competitive advantage and policy analysis.</w:t>
      </w:r>
    </w:p>
    <w:p w14:paraId="00000035">
      <w:pPr>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jc w:val="both"/>
      </w:pPr>
      <w:r>
        <w:rPr>
          <w:rFonts w:ascii="Google Sans" w:hAnsi="Google Sans" w:eastAsia="Google Sans" w:cs="Google Sans"/>
          <w:b/>
          <w:bCs/>
          <w:color w:val="1F1F1F"/>
          <w:rtl w:val="0"/>
        </w:rPr>
        <w:t>Specificity:</w:t>
      </w:r>
      <w:r>
        <w:rPr>
          <w:rFonts w:ascii="Google Sans" w:hAnsi="Google Sans" w:eastAsia="Google Sans" w:cs="Google Sans"/>
          <w:color w:val="1F1F1F"/>
          <w:rtl w:val="0"/>
        </w:rPr>
        <w:t xml:space="preserve"> Focus on Guangdong’s unique characteristics (geography, industrial base, policy orientation) rather than generalities.</w:t>
      </w:r>
    </w:p>
    <w:p w14:paraId="00000036">
      <w:pPr>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jc w:val="both"/>
      </w:pPr>
      <w:r>
        <w:rPr>
          <w:rFonts w:ascii="Google Sans" w:hAnsi="Google Sans" w:eastAsia="Google Sans" w:cs="Google Sans"/>
          <w:b/>
          <w:bCs/>
          <w:color w:val="1F1F1F"/>
          <w:rtl w:val="0"/>
        </w:rPr>
        <w:t>Practicality:</w:t>
      </w:r>
      <w:r>
        <w:rPr>
          <w:rFonts w:ascii="Google Sans" w:hAnsi="Google Sans" w:eastAsia="Google Sans" w:cs="Google Sans"/>
          <w:color w:val="1F1F1F"/>
          <w:rtl w:val="0"/>
        </w:rPr>
        <w:t xml:space="preserve"> Results must support subsequent project phases with actionable insights and feasible recommendations.</w:t>
      </w:r>
    </w:p>
    <w:p w14:paraId="00000037">
      <w:pPr>
        <w:pStyle w:val="3"/>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jc w:val="both"/>
        <w:rPr>
          <w:rFonts w:ascii="Google Sans" w:hAnsi="Google Sans" w:eastAsia="Google Sans" w:cs="Google Sans"/>
          <w:color w:val="1F1F1F"/>
        </w:rPr>
      </w:pPr>
      <w:r>
        <w:rPr>
          <w:rFonts w:ascii="Google Sans" w:hAnsi="Google Sans" w:eastAsia="Google Sans" w:cs="Google Sans"/>
          <w:color w:val="1F1F1F"/>
          <w:rtl w:val="0"/>
        </w:rPr>
        <w:t>3.4 Division of Labor and Timeline</w:t>
      </w:r>
    </w:p>
    <w:p w14:paraId="00000038">
      <w:pPr>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jc w:val="both"/>
      </w:pPr>
      <w:r>
        <w:rPr>
          <w:rFonts w:ascii="Google Sans" w:hAnsi="Google Sans" w:eastAsia="Google Sans" w:cs="Google Sans"/>
          <w:b/>
          <w:bCs/>
          <w:color w:val="1F1F1F"/>
          <w:rtl w:val="0"/>
        </w:rPr>
        <w:t>Principles:</w:t>
      </w:r>
      <w:r>
        <w:rPr>
          <w:rFonts w:ascii="Google Sans" w:hAnsi="Google Sans" w:eastAsia="Google Sans" w:cs="Google Sans"/>
          <w:color w:val="1F1F1F"/>
          <w:rtl w:val="0"/>
        </w:rPr>
        <w:t xml:space="preserve"> Division by industrial category (Traditional/Emerging/Future). Assigned individuals are responsible for data, profiling, advantage analysis, and policy sorting for their respective sectors.</w:t>
      </w:r>
    </w:p>
    <w:p w14:paraId="00000039">
      <w:pPr>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jc w:val="both"/>
      </w:pPr>
      <w:r>
        <w:rPr>
          <w:rFonts w:ascii="Google Sans" w:hAnsi="Google Sans" w:eastAsia="Google Sans" w:cs="Google Sans"/>
          <w:b/>
          <w:bCs/>
          <w:color w:val="1F1F1F"/>
          <w:rtl w:val="0"/>
        </w:rPr>
        <w:t>Milestones:</w:t>
      </w:r>
      <w:r>
        <w:rPr>
          <w:rFonts w:ascii="Google Sans" w:hAnsi="Google Sans" w:eastAsia="Google Sans" w:cs="Google Sans"/>
          <w:color w:val="1F1F1F"/>
          <w:rtl w:val="0"/>
        </w:rPr>
        <w:t xml:space="preserve"> Define clear deadlines for data mining, profiling, draft writing, and finalization.</w:t>
      </w:r>
    </w:p>
    <w:p w14:paraId="0000003A">
      <w:pPr>
        <w:pStyle w:val="2"/>
        <w:pBdr>
          <w:top w:val="none" w:color="auto" w:sz="0" w:space="0"/>
          <w:left w:val="none" w:color="auto" w:sz="0" w:space="0"/>
          <w:bottom w:val="none" w:color="auto" w:sz="0" w:space="0"/>
          <w:right w:val="none" w:color="auto" w:sz="0" w:space="0"/>
          <w:between w:val="none" w:color="auto" w:sz="0" w:space="0"/>
        </w:pBdr>
        <w:shd w:val="clear" w:fill="auto"/>
        <w:spacing w:before="127" w:after="120" w:line="275" w:lineRule="auto"/>
        <w:jc w:val="both"/>
        <w:rPr>
          <w:rFonts w:ascii="Google Sans" w:hAnsi="Google Sans" w:eastAsia="Google Sans" w:cs="Google Sans"/>
          <w:color w:val="1F1F1F"/>
        </w:rPr>
      </w:pPr>
      <w:r>
        <w:pict>
          <v:rect id="_x0000_i1028" o:spt="1" style="height:1.5pt;width:0pt;" fillcolor="#A0A0A0" filled="t" stroked="f" coordsize="21600,21600" o:hr="t" o:hrstd="t" o:hralign="center">
            <v:path/>
            <v:fill on="t" focussize="0,0"/>
            <v:stroke on="f"/>
            <v:imagedata o:title=""/>
            <o:lock v:ext="edit"/>
            <w10:wrap type="none"/>
            <w10:anchorlock/>
          </v:rect>
        </w:pict>
      </w:r>
      <w:r>
        <w:rPr>
          <w:rFonts w:ascii="Google Sans" w:hAnsi="Google Sans" w:eastAsia="Google Sans" w:cs="Google Sans"/>
          <w:color w:val="1F1F1F"/>
          <w:rtl w:val="0"/>
        </w:rPr>
        <w:t>IV. Output Framework (Deliverables)</w:t>
      </w:r>
    </w:p>
    <w:p w14:paraId="0000003B">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jc w:val="both"/>
        <w:rPr>
          <w:rFonts w:ascii="Google Sans" w:hAnsi="Google Sans" w:eastAsia="Google Sans" w:cs="Google Sans"/>
          <w:b/>
          <w:bCs/>
          <w:i/>
          <w:iCs/>
          <w:color w:val="1F1F1F"/>
          <w:sz w:val="28"/>
          <w:szCs w:val="28"/>
        </w:rPr>
      </w:pPr>
      <w:r>
        <w:rPr>
          <w:rFonts w:ascii="Google Sans" w:hAnsi="Google Sans" w:eastAsia="Google Sans" w:cs="Google Sans"/>
          <w:color w:val="1F1F1F"/>
          <w:rtl w:val="0"/>
        </w:rPr>
        <w:t xml:space="preserve">4.1 Core Deliverable: </w:t>
      </w:r>
      <w:r>
        <w:rPr>
          <w:rFonts w:ascii="Google Sans" w:hAnsi="Google Sans" w:eastAsia="Google Sans" w:cs="Google Sans"/>
          <w:b/>
          <w:bCs/>
          <w:i/>
          <w:iCs/>
          <w:color w:val="1F1F1F"/>
          <w:sz w:val="28"/>
          <w:szCs w:val="28"/>
          <w:rtl w:val="0"/>
        </w:rPr>
        <w:t>Guangdong Key Industry Analysis Report (Full Version)</w:t>
      </w:r>
    </w:p>
    <w:p w14:paraId="0000003C">
      <w:pPr>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jc w:val="both"/>
        <w:rPr>
          <w:rFonts w:ascii="Google Sans" w:hAnsi="Google Sans" w:eastAsia="Google Sans" w:cs="Google Sans"/>
          <w:color w:val="1F1F1F"/>
        </w:rPr>
      </w:pPr>
      <w:r>
        <w:rPr>
          <w:rFonts w:ascii="Google Sans" w:hAnsi="Google Sans" w:eastAsia="Google Sans" w:cs="Google Sans"/>
          <w:color w:val="1F1F1F"/>
          <w:rtl w:val="0"/>
        </w:rPr>
        <w:t>Structure:</w:t>
      </w:r>
    </w:p>
    <w:p w14:paraId="0000003D">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jc w:val="both"/>
      </w:pPr>
      <w:r>
        <w:rPr>
          <w:rFonts w:ascii="Google Sans" w:hAnsi="Google Sans" w:eastAsia="Google Sans" w:cs="Google Sans"/>
          <w:b/>
          <w:bCs/>
          <w:color w:val="1F1F1F"/>
          <w:rtl w:val="0"/>
        </w:rPr>
        <w:t>Abstract:</w:t>
      </w:r>
      <w:r>
        <w:rPr>
          <w:rFonts w:ascii="Google Sans" w:hAnsi="Google Sans" w:eastAsia="Google Sans" w:cs="Google Sans"/>
          <w:color w:val="1F1F1F"/>
          <w:rtl w:val="0"/>
        </w:rPr>
        <w:t xml:space="preserve"> Background, core tasks, major findings, and key recommendations (1–2 pages).</w:t>
      </w:r>
    </w:p>
    <w:p w14:paraId="0000003E">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jc w:val="both"/>
      </w:pPr>
      <w:r>
        <w:rPr>
          <w:rFonts w:ascii="Google Sans" w:hAnsi="Google Sans" w:eastAsia="Google Sans" w:cs="Google Sans"/>
          <w:b/>
          <w:bCs/>
          <w:color w:val="1F1F1F"/>
          <w:rtl w:val="0"/>
        </w:rPr>
        <w:t>Introduction:</w:t>
      </w:r>
      <w:r>
        <w:rPr>
          <w:rFonts w:ascii="Google Sans" w:hAnsi="Google Sans" w:eastAsia="Google Sans" w:cs="Google Sans"/>
          <w:color w:val="1F1F1F"/>
          <w:rtl w:val="0"/>
        </w:rPr>
        <w:t xml:space="preserve"> Objectives, scope, data sources, and theoretical framework.</w:t>
      </w:r>
    </w:p>
    <w:p w14:paraId="0000003F">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jc w:val="both"/>
      </w:pPr>
      <w:r>
        <w:rPr>
          <w:rFonts w:ascii="Google Sans" w:hAnsi="Google Sans" w:eastAsia="Google Sans" w:cs="Google Sans"/>
          <w:b/>
          <w:bCs/>
          <w:color w:val="1F1F1F"/>
          <w:rtl w:val="0"/>
        </w:rPr>
        <w:t>General Overview:</w:t>
      </w:r>
      <w:r>
        <w:rPr>
          <w:rFonts w:ascii="Google Sans" w:hAnsi="Google Sans" w:eastAsia="Google Sans" w:cs="Google Sans"/>
          <w:color w:val="1F1F1F"/>
          <w:rtl w:val="0"/>
        </w:rPr>
        <w:t xml:space="preserve"> Summary of Guangdong’s three priority industries (enterprises, output, foundation).</w:t>
      </w:r>
    </w:p>
    <w:p w14:paraId="00000040">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jc w:val="both"/>
      </w:pPr>
      <w:r>
        <w:rPr>
          <w:rFonts w:ascii="Google Sans" w:hAnsi="Google Sans" w:eastAsia="Google Sans" w:cs="Google Sans"/>
          <w:b/>
          <w:bCs/>
          <w:color w:val="1F1F1F"/>
          <w:rtl w:val="0"/>
        </w:rPr>
        <w:t>Detailed Industrial Analysis (Chapters for Traditional, Emerging, and Future Industries):</w:t>
      </w:r>
    </w:p>
    <w:p w14:paraId="00000041">
      <w:pPr>
        <w:numPr>
          <w:ilvl w:val="1"/>
          <w:numId w:val="1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975" w:hanging="360"/>
        <w:jc w:val="both"/>
      </w:pPr>
      <w:r>
        <w:rPr>
          <w:rFonts w:ascii="Google Sans" w:hAnsi="Google Sans" w:eastAsia="Google Sans" w:cs="Google Sans"/>
          <w:color w:val="1F1F1F"/>
          <w:rtl w:val="0"/>
        </w:rPr>
        <w:t>Industrial Profile (Scale, structure, characteristics).</w:t>
      </w:r>
    </w:p>
    <w:p w14:paraId="00000042">
      <w:pPr>
        <w:numPr>
          <w:ilvl w:val="1"/>
          <w:numId w:val="1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975" w:hanging="360"/>
        <w:jc w:val="both"/>
      </w:pPr>
      <w:r>
        <w:rPr>
          <w:rFonts w:ascii="Google Sans" w:hAnsi="Google Sans" w:eastAsia="Google Sans" w:cs="Google Sans"/>
          <w:color w:val="1F1F1F"/>
          <w:rtl w:val="0"/>
        </w:rPr>
        <w:t>Talent Profile (Scale, structure, demand, mobility).</w:t>
      </w:r>
    </w:p>
    <w:p w14:paraId="00000043">
      <w:pPr>
        <w:numPr>
          <w:ilvl w:val="1"/>
          <w:numId w:val="1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975" w:hanging="360"/>
        <w:jc w:val="both"/>
      </w:pPr>
      <w:r>
        <w:rPr>
          <w:rFonts w:ascii="Google Sans" w:hAnsi="Google Sans" w:eastAsia="Google Sans" w:cs="Google Sans"/>
          <w:color w:val="1F1F1F"/>
          <w:rtl w:val="0"/>
        </w:rPr>
        <w:t>Cluster Competitive Advantage (Theory, province-level advantages, benchmarking, SWOT).</w:t>
      </w:r>
    </w:p>
    <w:p w14:paraId="00000044">
      <w:pPr>
        <w:numPr>
          <w:ilvl w:val="1"/>
          <w:numId w:val="1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975" w:hanging="360"/>
        <w:jc w:val="both"/>
      </w:pPr>
      <w:r>
        <w:rPr>
          <w:rFonts w:ascii="Google Sans" w:hAnsi="Google Sans" w:eastAsia="Google Sans" w:cs="Google Sans"/>
          <w:color w:val="1F1F1F"/>
          <w:rtl w:val="0"/>
        </w:rPr>
        <w:t>Policy Mapping (Types, details, fit).</w:t>
      </w:r>
    </w:p>
    <w:p w14:paraId="00000045">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jc w:val="both"/>
      </w:pPr>
      <w:r>
        <w:rPr>
          <w:rFonts w:ascii="Google Sans" w:hAnsi="Google Sans" w:eastAsia="Google Sans" w:cs="Google Sans"/>
          <w:b/>
          <w:bCs/>
          <w:color w:val="1F1F1F"/>
          <w:rtl w:val="0"/>
        </w:rPr>
        <w:t>Comprehensive Conclusions &amp; Recommendations:</w:t>
      </w:r>
      <w:r>
        <w:rPr>
          <w:rFonts w:ascii="Google Sans" w:hAnsi="Google Sans" w:eastAsia="Google Sans" w:cs="Google Sans"/>
          <w:color w:val="1F1F1F"/>
          <w:rtl w:val="0"/>
        </w:rPr>
        <w:t xml:space="preserve"> Development summary, core advantages, identified gaps, policy optimization (optional), and follow-up guidance.</w:t>
      </w:r>
    </w:p>
    <w:p w14:paraId="00000046">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jc w:val="both"/>
      </w:pPr>
      <w:r>
        <w:rPr>
          <w:rFonts w:ascii="Google Sans" w:hAnsi="Google Sans" w:eastAsia="Google Sans" w:cs="Google Sans"/>
          <w:b/>
          <w:bCs/>
          <w:color w:val="1F1F1F"/>
          <w:rtl w:val="0"/>
        </w:rPr>
        <w:t>Appendix:</w:t>
      </w:r>
      <w:r>
        <w:rPr>
          <w:rFonts w:ascii="Google Sans" w:hAnsi="Google Sans" w:eastAsia="Google Sans" w:cs="Google Sans"/>
          <w:color w:val="1F1F1F"/>
          <w:rtl w:val="0"/>
        </w:rPr>
        <w:t xml:space="preserve"> Enterprise directories, data tables, policy texts, and theoretical notes.</w:t>
      </w:r>
    </w:p>
    <w:p w14:paraId="00000047">
      <w:pPr>
        <w:pStyle w:val="3"/>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jc w:val="both"/>
        <w:rPr>
          <w:rFonts w:ascii="Google Sans" w:hAnsi="Google Sans" w:eastAsia="Google Sans" w:cs="Google Sans"/>
          <w:color w:val="1F1F1F"/>
        </w:rPr>
      </w:pPr>
      <w:r>
        <w:rPr>
          <w:rFonts w:ascii="Google Sans" w:hAnsi="Google Sans" w:eastAsia="Google Sans" w:cs="Google Sans"/>
          <w:color w:val="1F1F1F"/>
          <w:rtl w:val="0"/>
        </w:rPr>
        <w:t>4.2 Auxiliary Deliverables</w:t>
      </w:r>
    </w:p>
    <w:p w14:paraId="00000048">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jc w:val="both"/>
      </w:pPr>
      <w:r>
        <w:rPr>
          <w:rFonts w:ascii="Google Sans" w:hAnsi="Google Sans" w:eastAsia="Google Sans" w:cs="Google Sans"/>
          <w:b/>
          <w:bCs/>
          <w:color w:val="1F1F1F"/>
          <w:rtl w:val="0"/>
        </w:rPr>
        <w:t>Data Summary Tables:</w:t>
      </w:r>
      <w:r>
        <w:rPr>
          <w:rFonts w:ascii="Google Sans" w:hAnsi="Google Sans" w:eastAsia="Google Sans" w:cs="Google Sans"/>
          <w:color w:val="1F1F1F"/>
          <w:rtl w:val="0"/>
        </w:rPr>
        <w:t xml:space="preserve"> Formatted enterprise lists, output data, and policy matrices.</w:t>
      </w:r>
    </w:p>
    <w:p w14:paraId="00000049">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jc w:val="both"/>
      </w:pPr>
      <w:r>
        <w:rPr>
          <w:rFonts w:ascii="Google Sans" w:hAnsi="Google Sans" w:eastAsia="Google Sans" w:cs="Google Sans"/>
          <w:b/>
          <w:bCs/>
          <w:color w:val="1F1F1F"/>
          <w:rtl w:val="0"/>
        </w:rPr>
        <w:t>Visualization Materials:</w:t>
      </w:r>
      <w:r>
        <w:rPr>
          <w:rFonts w:ascii="Google Sans" w:hAnsi="Google Sans" w:eastAsia="Google Sans" w:cs="Google Sans"/>
          <w:color w:val="1F1F1F"/>
          <w:rtl w:val="0"/>
        </w:rPr>
        <w:t xml:space="preserve"> Charts (bar, pie, mind maps) for industrial and talent profiles.</w:t>
      </w:r>
    </w:p>
    <w:p w14:paraId="0000004A">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jc w:val="both"/>
      </w:pPr>
      <w:r>
        <w:rPr>
          <w:rFonts w:ascii="Google Sans" w:hAnsi="Google Sans" w:eastAsia="Google Sans" w:cs="Google Sans"/>
          <w:b/>
          <w:bCs/>
          <w:color w:val="1F1F1F"/>
          <w:rtl w:val="0"/>
        </w:rPr>
        <w:t>Progress Reports:</w:t>
      </w:r>
      <w:r>
        <w:rPr>
          <w:rFonts w:ascii="Google Sans" w:hAnsi="Google Sans" w:eastAsia="Google Sans" w:cs="Google Sans"/>
          <w:color w:val="1F1F1F"/>
          <w:rtl w:val="0"/>
        </w:rPr>
        <w:t xml:space="preserve"> Internal updates on milestones, core achievements, and problem-solving.</w:t>
      </w:r>
    </w:p>
    <w:p w14:paraId="0000004B">
      <w:pPr>
        <w:pStyle w:val="3"/>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jc w:val="both"/>
        <w:rPr>
          <w:rFonts w:ascii="Google Sans" w:hAnsi="Google Sans" w:eastAsia="Google Sans" w:cs="Google Sans"/>
          <w:color w:val="1F1F1F"/>
        </w:rPr>
      </w:pPr>
      <w:r>
        <w:rPr>
          <w:rFonts w:ascii="Google Sans" w:hAnsi="Google Sans" w:eastAsia="Google Sans" w:cs="Google Sans"/>
          <w:color w:val="1F1F1F"/>
          <w:rtl w:val="0"/>
        </w:rPr>
        <w:t>4.3 Output Standards</w:t>
      </w:r>
    </w:p>
    <w:p w14:paraId="0000004C">
      <w:pPr>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570" w:hanging="360"/>
        <w:jc w:val="both"/>
      </w:pPr>
      <w:r>
        <w:rPr>
          <w:rFonts w:ascii="Google Sans" w:hAnsi="Google Sans" w:eastAsia="Google Sans" w:cs="Google Sans"/>
          <w:b/>
          <w:bCs/>
          <w:color w:val="1F1F1F"/>
          <w:rtl w:val="0"/>
        </w:rPr>
        <w:t>Standardized Formatting:</w:t>
      </w:r>
      <w:r>
        <w:rPr>
          <w:rFonts w:ascii="Google Sans" w:hAnsi="Google Sans" w:eastAsia="Google Sans" w:cs="Google Sans"/>
          <w:color w:val="1F1F1F"/>
          <w:rtl w:val="0"/>
        </w:rPr>
        <w:t xml:space="preserve"> Unified fonts, layout, clear charts, and complete appendices.</w:t>
      </w:r>
    </w:p>
    <w:p w14:paraId="0000004D">
      <w:pPr>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570" w:hanging="360"/>
        <w:jc w:val="both"/>
      </w:pPr>
      <w:r>
        <w:rPr>
          <w:rFonts w:ascii="Google Sans" w:hAnsi="Google Sans" w:eastAsia="Google Sans" w:cs="Google Sans"/>
          <w:b/>
          <w:bCs/>
          <w:color w:val="1F1F1F"/>
          <w:rtl w:val="0"/>
        </w:rPr>
        <w:t>Rigor:</w:t>
      </w:r>
      <w:r>
        <w:rPr>
          <w:rFonts w:ascii="Google Sans" w:hAnsi="Google Sans" w:eastAsia="Google Sans" w:cs="Google Sans"/>
          <w:color w:val="1F1F1F"/>
          <w:rtl w:val="0"/>
        </w:rPr>
        <w:t xml:space="preserve"> Accurate data and logical arguments; avoid subjective speculation.</w:t>
      </w:r>
    </w:p>
    <w:p w14:paraId="0000004E">
      <w:pPr>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570" w:hanging="360"/>
        <w:jc w:val="both"/>
      </w:pPr>
      <w:r>
        <w:rPr>
          <w:rFonts w:ascii="Google Sans" w:hAnsi="Google Sans" w:eastAsia="Google Sans" w:cs="Google Sans"/>
          <w:b/>
          <w:bCs/>
          <w:color w:val="1F1F1F"/>
          <w:rtl w:val="0"/>
        </w:rPr>
        <w:t>Reusability:</w:t>
      </w:r>
      <w:r>
        <w:rPr>
          <w:rFonts w:ascii="Google Sans" w:hAnsi="Google Sans" w:eastAsia="Google Sans" w:cs="Google Sans"/>
          <w:color w:val="1F1F1F"/>
          <w:rtl w:val="0"/>
        </w:rPr>
        <w:t xml:space="preserve"> Data tables and visuals should be extractable for future use or modification.</w:t>
      </w:r>
    </w:p>
    <w:p w14:paraId="0C7A6B06">
      <w:pPr>
        <w:keepNext w:val="0"/>
        <w:keepLines w:val="0"/>
        <w:pageBreakBefore w:val="0"/>
        <w:widowControl w:val="0"/>
        <w:kinsoku/>
        <w:wordWrap/>
        <w:overflowPunct/>
        <w:topLinePunct w:val="0"/>
        <w:autoSpaceDE/>
        <w:autoSpaceDN/>
        <w:bidi w:val="0"/>
        <w:adjustRightInd/>
        <w:snapToGrid/>
        <w:spacing w:before="120" w:after="120" w:line="280" w:lineRule="exact"/>
        <w:ind w:left="0"/>
        <w:jc w:val="both"/>
        <w:textAlignment w:val="auto"/>
      </w:pPr>
    </w:p>
    <w:sectPr>
      <w:headerReference r:id="rId3" w:type="default"/>
      <w:footerReference r:id="rId4" w:type="default"/>
      <w:pgSz w:w="11905" w:h="16840"/>
      <w:pgMar w:top="873" w:right="896" w:bottom="873" w:left="896"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Wingdings">
    <w:panose1 w:val="05000000000000000000"/>
    <w:charset w:val="00"/>
    <w:family w:val="auto"/>
    <w:pitch w:val="default"/>
    <w:sig w:usb0="00000000" w:usb1="00000000" w:usb2="00000000" w:usb3="00000000" w:csb0="80000000" w:csb1="00000000"/>
  </w:font>
  <w:font w:name="Google San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68EA8"/>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AB72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AA1A87"/>
    <w:multiLevelType w:val="singleLevel"/>
    <w:tmpl w:val="AFAA1A87"/>
    <w:lvl w:ilvl="0" w:tentative="0">
      <w:start w:val="1"/>
      <w:numFmt w:val="bullet"/>
      <w:lvlText w:val=""/>
      <w:lvlJc w:val="left"/>
      <w:pPr>
        <w:ind w:left="420" w:hanging="420"/>
      </w:pPr>
      <w:rPr>
        <w:rFonts w:hint="default" w:ascii="Wingdings" w:hAnsi="Wingdings"/>
      </w:rPr>
    </w:lvl>
  </w:abstractNum>
  <w:abstractNum w:abstractNumId="1">
    <w:nsid w:val="CBA8AD15"/>
    <w:multiLevelType w:val="multilevel"/>
    <w:tmpl w:val="CBA8AD15"/>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99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D72CB0E1"/>
    <w:multiLevelType w:val="multilevel"/>
    <w:tmpl w:val="D72CB0E1"/>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99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DF3E25BD"/>
    <w:multiLevelType w:val="singleLevel"/>
    <w:tmpl w:val="DF3E25BD"/>
    <w:lvl w:ilvl="0" w:tentative="0">
      <w:start w:val="1"/>
      <w:numFmt w:val="bullet"/>
      <w:lvlText w:val=""/>
      <w:lvlJc w:val="left"/>
      <w:pPr>
        <w:ind w:left="420" w:hanging="420"/>
      </w:pPr>
      <w:rPr>
        <w:rFonts w:hint="default" w:ascii="Wingdings" w:hAnsi="Wingdings"/>
      </w:rPr>
    </w:lvl>
  </w:abstractNum>
  <w:abstractNum w:abstractNumId="4">
    <w:nsid w:val="DFFCC2B3"/>
    <w:multiLevelType w:val="multilevel"/>
    <w:tmpl w:val="DFFCC2B3"/>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EAFC8644"/>
    <w:multiLevelType w:val="singleLevel"/>
    <w:tmpl w:val="EAFC8644"/>
    <w:lvl w:ilvl="0" w:tentative="0">
      <w:start w:val="1"/>
      <w:numFmt w:val="bullet"/>
      <w:lvlText w:val=""/>
      <w:lvlJc w:val="left"/>
      <w:pPr>
        <w:ind w:left="420" w:hanging="420"/>
      </w:pPr>
      <w:rPr>
        <w:rFonts w:hint="default" w:ascii="Wingdings" w:hAnsi="Wingdings"/>
      </w:rPr>
    </w:lvl>
  </w:abstractNum>
  <w:abstractNum w:abstractNumId="6">
    <w:nsid w:val="EBBED81D"/>
    <w:multiLevelType w:val="singleLevel"/>
    <w:tmpl w:val="EBBED81D"/>
    <w:lvl w:ilvl="0" w:tentative="0">
      <w:start w:val="1"/>
      <w:numFmt w:val="decimal"/>
      <w:lvlText w:val="%1."/>
      <w:lvlJc w:val="left"/>
      <w:pPr>
        <w:ind w:left="425" w:hanging="425"/>
      </w:pPr>
      <w:rPr>
        <w:rFonts w:hint="default"/>
      </w:rPr>
    </w:lvl>
  </w:abstractNum>
  <w:abstractNum w:abstractNumId="7">
    <w:nsid w:val="F5DE00B5"/>
    <w:multiLevelType w:val="multilevel"/>
    <w:tmpl w:val="F5DE00B5"/>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
    <w:nsid w:val="F7FFEF18"/>
    <w:multiLevelType w:val="multilevel"/>
    <w:tmpl w:val="F7FFEF18"/>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
    <w:nsid w:val="FB7CFEB1"/>
    <w:multiLevelType w:val="multilevel"/>
    <w:tmpl w:val="FB7CFEB1"/>
    <w:lvl w:ilvl="0" w:tentative="0">
      <w:start w:val="1"/>
      <w:numFmt w:val="decimal"/>
      <w:lvlText w:val="%1."/>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97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
    <w:nsid w:val="FD5A03A5"/>
    <w:multiLevelType w:val="singleLevel"/>
    <w:tmpl w:val="FD5A03A5"/>
    <w:lvl w:ilvl="0" w:tentative="0">
      <w:start w:val="1"/>
      <w:numFmt w:val="decimalEnclosedCircleChinese"/>
      <w:suff w:val="nothing"/>
      <w:lvlText w:val="%1　"/>
      <w:lvlJc w:val="left"/>
      <w:pPr>
        <w:ind w:left="0" w:firstLine="400"/>
      </w:pPr>
      <w:rPr>
        <w:rFonts w:hint="eastAsia"/>
      </w:rPr>
    </w:lvl>
  </w:abstractNum>
  <w:abstractNum w:abstractNumId="11">
    <w:nsid w:val="FFB6D1E1"/>
    <w:multiLevelType w:val="multilevel"/>
    <w:tmpl w:val="FFB6D1E1"/>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
    <w:nsid w:val="FFF42E1F"/>
    <w:multiLevelType w:val="multilevel"/>
    <w:tmpl w:val="FFF42E1F"/>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
    <w:nsid w:val="37E7581F"/>
    <w:multiLevelType w:val="multilevel"/>
    <w:tmpl w:val="37E7581F"/>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4">
    <w:nsid w:val="3FCE61B4"/>
    <w:multiLevelType w:val="multilevel"/>
    <w:tmpl w:val="3FCE61B4"/>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5">
    <w:nsid w:val="57FC6263"/>
    <w:multiLevelType w:val="multilevel"/>
    <w:tmpl w:val="57FC6263"/>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6">
    <w:nsid w:val="63FFBA77"/>
    <w:multiLevelType w:val="multilevel"/>
    <w:tmpl w:val="63FFBA77"/>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7">
    <w:nsid w:val="7E9E737C"/>
    <w:multiLevelType w:val="multilevel"/>
    <w:tmpl w:val="7E9E737C"/>
    <w:lvl w:ilvl="0" w:tentative="0">
      <w:start w:val="1"/>
      <w:numFmt w:val="decimal"/>
      <w:lvlText w:val="%1."/>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97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8">
    <w:nsid w:val="7EF723A0"/>
    <w:multiLevelType w:val="singleLevel"/>
    <w:tmpl w:val="7EF723A0"/>
    <w:lvl w:ilvl="0" w:tentative="0">
      <w:start w:val="1"/>
      <w:numFmt w:val="decimalEnclosedCircleChinese"/>
      <w:suff w:val="nothing"/>
      <w:lvlText w:val="%1　"/>
      <w:lvlJc w:val="left"/>
      <w:pPr>
        <w:ind w:left="0" w:firstLine="400"/>
      </w:pPr>
      <w:rPr>
        <w:rFonts w:hint="eastAsia"/>
      </w:rPr>
    </w:lvl>
  </w:abstractNum>
  <w:abstractNum w:abstractNumId="19">
    <w:nsid w:val="7F7E2CEB"/>
    <w:multiLevelType w:val="multilevel"/>
    <w:tmpl w:val="7F7E2CEB"/>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5"/>
  </w:num>
  <w:num w:numId="2">
    <w:abstractNumId w:val="18"/>
  </w:num>
  <w:num w:numId="3">
    <w:abstractNumId w:val="0"/>
  </w:num>
  <w:num w:numId="4">
    <w:abstractNumId w:val="6"/>
  </w:num>
  <w:num w:numId="5">
    <w:abstractNumId w:val="10"/>
  </w:num>
  <w:num w:numId="6">
    <w:abstractNumId w:val="3"/>
  </w:num>
  <w:num w:numId="7">
    <w:abstractNumId w:val="19"/>
  </w:num>
  <w:num w:numId="8">
    <w:abstractNumId w:val="11"/>
  </w:num>
  <w:num w:numId="9">
    <w:abstractNumId w:val="7"/>
  </w:num>
  <w:num w:numId="10">
    <w:abstractNumId w:val="13"/>
  </w:num>
  <w:num w:numId="11">
    <w:abstractNumId w:val="1"/>
  </w:num>
  <w:num w:numId="12">
    <w:abstractNumId w:val="2"/>
  </w:num>
  <w:num w:numId="13">
    <w:abstractNumId w:val="16"/>
  </w:num>
  <w:num w:numId="14">
    <w:abstractNumId w:val="15"/>
  </w:num>
  <w:num w:numId="15">
    <w:abstractNumId w:val="4"/>
  </w:num>
  <w:num w:numId="16">
    <w:abstractNumId w:val="14"/>
  </w:num>
  <w:num w:numId="17">
    <w:abstractNumId w:val="9"/>
  </w:num>
  <w:num w:numId="18">
    <w:abstractNumId w:val="17"/>
  </w:num>
  <w:num w:numId="19">
    <w:abstractNumId w:val="8"/>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3"/>
  <w:doNotDisplayPageBoundaries w:val="1"/>
  <w:documentProtection w:enforcement="0"/>
  <w:compat>
    <w:useFELayout/>
    <w:splitPgBreakAndParaMark/>
    <w:compatSetting w:name="compatibilityMode" w:uri="http://schemas.microsoft.com/office/word" w:val="12"/>
  </w:compat>
  <w:rsids>
    <w:rsidRoot w:val="00000000"/>
    <w:rsid w:val="5D5FAEF4"/>
    <w:rsid w:val="E1AD69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3">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4">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0</TotalTime>
  <ScaleCrop>false</ScaleCrop>
  <LinksUpToDate>false</LinksUpToDate>
  <Application>WPS Office_12.1.25201.25201_F1E327BC-269C-435d-A152-05C5408002CA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2026-04-14T12:19:00Z</dcterms:created>
  <dc:creator>Apache POI</dc:creator>
  <cp:lastModifiedBy>Brook</cp:lastModifiedBy>
  <dcterms:modified xsi:type="dcterms:W3CDTF">2026-04-14T12:42:06Z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2052-12.1.25201.25201</vt:lpwstr>
  </property>
  <property fmtid="{D5CDD505-2E9C-101B-9397-08002B2CF9AE}" pid="3" name="ICV">
    <vt:lpwstr>1CD7B4C00E7C2596D6C2DD69FCA1D071_42</vt:lpwstr>
  </property>
</Properties>
</file>