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6691">
      <w:pPr>
        <w:pStyle w:val="15"/>
        <w:jc w:val="left"/>
      </w:pPr>
      <w:r>
        <w:rPr>
          <w:b/>
        </w:rPr>
        <w:t>广东省集成电路产业发展基础</w:t>
      </w:r>
    </w:p>
    <w:p w14:paraId="AEB03145">
      <w:pPr>
        <w:pStyle w:val="5"/>
      </w:pPr>
      <w:r>
        <w:rPr>
          <w:b/>
        </w:rPr>
        <w:t>一、 产业布局：“3+N”梯队协同发展格局</w:t>
      </w:r>
    </w:p>
    <w:p w14:paraId="B801E937">
      <w:pPr/>
      <w:r>
        <w:rPr>
          <w:lang w:val="en-US"/>
        </w:rPr>
        <w:t>（一）</w:t>
      </w:r>
      <w:r>
        <w:t>广东省已形成以</w:t>
      </w:r>
      <w:r>
        <w:rPr>
          <w:b/>
        </w:rPr>
        <w:t>广州、深圳、珠海</w:t>
      </w:r>
      <w:r>
        <w:t>三大核心城市为引擎，带动佛山、东莞、中山、惠州、肇庆等多地协同发展的“3+N”产业格局。</w:t>
      </w:r>
    </w:p>
    <w:tbl>
      <w:tblPr>
        <w:tblStyle w:val="19"/>
        <w:tblW w:w="8884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45"/>
        <w:gridCol w:w="3139"/>
      </w:tblGrid>
      <w:tr w14:paraId="42757DF3">
        <w:tblPrEx>
          <w:tblLayout w:type="fixed"/>
        </w:tblPrEx>
        <w:tc>
          <w:tcPr>
            <w:tcW w:w="1800" w:type="dxa"/>
            <w:vAlign w:val="center"/>
          </w:tcPr>
          <w:p w14:paraId="BFF34177">
            <w:pPr>
              <w:jc w:val="left"/>
            </w:pPr>
            <w:r>
              <w:t>核心城市</w:t>
            </w:r>
          </w:p>
        </w:tc>
        <w:tc>
          <w:tcPr>
            <w:tcW w:w="3945" w:type="dxa"/>
            <w:vAlign w:val="center"/>
          </w:tcPr>
          <w:p w14:paraId="2401B7DA">
            <w:pPr>
              <w:jc w:val="left"/>
            </w:pPr>
            <w:r>
              <w:t>定位与特色</w:t>
            </w:r>
          </w:p>
        </w:tc>
        <w:tc>
          <w:tcPr>
            <w:tcW w:w="3139" w:type="dxa"/>
            <w:vAlign w:val="center"/>
          </w:tcPr>
          <w:p w14:paraId="7507911C">
            <w:pPr>
              <w:jc w:val="left"/>
            </w:pPr>
            <w:r>
              <w:t>重点园区/项目</w:t>
            </w:r>
          </w:p>
        </w:tc>
      </w:tr>
      <w:tr w14:paraId="925EE8F4">
        <w:tblPrEx>
          <w:tblLayout w:type="fixed"/>
        </w:tblPrEx>
        <w:tc>
          <w:tcPr>
            <w:tcW w:w="1800" w:type="dxa"/>
            <w:vAlign w:val="center"/>
          </w:tcPr>
          <w:p w14:paraId="91C9ACDE">
            <w:pPr>
              <w:jc w:val="left"/>
            </w:pPr>
            <w:r>
              <w:rPr>
                <w:b/>
              </w:rPr>
              <w:t>深圳</w:t>
            </w:r>
          </w:p>
        </w:tc>
        <w:tc>
          <w:tcPr>
            <w:tcW w:w="3945" w:type="dxa"/>
            <w:vAlign w:val="center"/>
          </w:tcPr>
          <w:p w14:paraId="3306FF92">
            <w:pPr>
              <w:jc w:val="left"/>
            </w:pPr>
            <w:r>
              <w:rPr>
                <w:b/>
              </w:rPr>
              <w:t>设计龙头与全产业链高地</w:t>
            </w:r>
            <w:r>
              <w:t>。产业规模全国领先，2024年营收达2839.6亿元，企业超727家。空间上形成“东部硅基、西部化合物、中部设计”的布局。</w:t>
            </w:r>
          </w:p>
        </w:tc>
        <w:tc>
          <w:tcPr>
            <w:tcW w:w="3139" w:type="dxa"/>
            <w:vAlign w:val="center"/>
          </w:tcPr>
          <w:p w14:paraId="08AB62ED">
            <w:pPr>
              <w:jc w:val="left"/>
            </w:pPr>
            <w:r>
              <w:t>坪山区集成电路产业园、龙岗区（坂田、宝龙等）产业基地、中芯国际12英寸线（F16项目）、华润微电子12英寸线。</w:t>
            </w:r>
          </w:p>
        </w:tc>
      </w:tr>
      <w:tr w14:paraId="D5142448">
        <w:tblPrEx>
          <w:tblLayout w:type="fixed"/>
        </w:tblPrEx>
        <w:tc>
          <w:tcPr>
            <w:tcW w:w="1800" w:type="dxa"/>
            <w:vAlign w:val="center"/>
          </w:tcPr>
          <w:p w14:paraId="0EB35CF4">
            <w:pPr>
              <w:jc w:val="left"/>
            </w:pPr>
            <w:r>
              <w:rPr>
                <w:b/>
              </w:rPr>
              <w:t>广州</w:t>
            </w:r>
          </w:p>
        </w:tc>
        <w:tc>
          <w:tcPr>
            <w:tcW w:w="3945" w:type="dxa"/>
            <w:vAlign w:val="center"/>
          </w:tcPr>
          <w:p w14:paraId="2B98037E">
            <w:pPr>
              <w:jc w:val="left"/>
            </w:pPr>
            <w:r>
              <w:rPr>
                <w:b/>
              </w:rPr>
              <w:t>制造强链核心与“第三极”承载区</w:t>
            </w:r>
            <w:r>
              <w:t>。实现从“缺芯”到“造芯”跨越，2024年产业增加值同比增长25.8%。形成以黄埔为核心，南沙、增城为两极的“一核两极多点”布局。</w:t>
            </w:r>
          </w:p>
        </w:tc>
        <w:tc>
          <w:tcPr>
            <w:tcW w:w="3139" w:type="dxa"/>
            <w:vAlign w:val="center"/>
          </w:tcPr>
          <w:p w14:paraId="29B477CE">
            <w:pPr>
              <w:jc w:val="left"/>
            </w:pPr>
            <w:r>
              <w:t>黄埔区湾区集成电路产业园（粤芯、增芯）、南沙区半导体集成电路产业园（芯粤能、芯聚能）、增城智能传感器产业园。</w:t>
            </w:r>
          </w:p>
        </w:tc>
      </w:tr>
      <w:tr w14:paraId="97B95E48">
        <w:tblPrEx>
          <w:tblLayout w:type="fixed"/>
        </w:tblPrEx>
        <w:tc>
          <w:tcPr>
            <w:tcW w:w="1800" w:type="dxa"/>
            <w:vAlign w:val="center"/>
          </w:tcPr>
          <w:p w14:paraId="90FF4AA9">
            <w:pPr>
              <w:jc w:val="left"/>
            </w:pPr>
            <w:r>
              <w:rPr>
                <w:b/>
              </w:rPr>
              <w:t>珠海</w:t>
            </w:r>
          </w:p>
        </w:tc>
        <w:tc>
          <w:tcPr>
            <w:tcW w:w="3945" w:type="dxa"/>
            <w:vAlign w:val="center"/>
          </w:tcPr>
          <w:p w14:paraId="D9A268B3">
            <w:pPr>
              <w:jc w:val="left"/>
            </w:pPr>
            <w:r>
              <w:rPr>
                <w:b/>
              </w:rPr>
              <w:t>设计优势与化合物半导体特色</w:t>
            </w:r>
            <w:r>
              <w:t>。聚焦化合物半导体等领域，已形成覆盖设计、制造、封测的全链条生态。</w:t>
            </w:r>
          </w:p>
        </w:tc>
        <w:tc>
          <w:tcPr>
            <w:tcW w:w="3139" w:type="dxa"/>
            <w:vAlign w:val="center"/>
          </w:tcPr>
          <w:p w14:paraId="7F5AB136">
            <w:pPr>
              <w:jc w:val="left"/>
            </w:pPr>
            <w:r>
              <w:t>珠海高新区半导体与集成电路产业园（省级特色产业园）、粤澳集成电路设计产业园。</w:t>
            </w:r>
          </w:p>
        </w:tc>
      </w:tr>
      <w:tr w14:paraId="E6940C50">
        <w:tblPrEx>
          <w:tblLayout w:type="fixed"/>
        </w:tblPrEx>
        <w:tc>
          <w:tcPr>
            <w:tcW w:w="1800" w:type="dxa"/>
            <w:vAlign w:val="center"/>
          </w:tcPr>
          <w:p w14:paraId="193372B8">
            <w:pPr>
              <w:jc w:val="left"/>
            </w:pPr>
            <w:r>
              <w:rPr>
                <w:b/>
              </w:rPr>
              <w:t>其他城市</w:t>
            </w:r>
          </w:p>
        </w:tc>
        <w:tc>
          <w:tcPr>
            <w:tcW w:w="3945" w:type="dxa"/>
            <w:vAlign w:val="center"/>
          </w:tcPr>
          <w:p w14:paraId="CC05865B">
            <w:pPr>
              <w:jc w:val="left"/>
            </w:pPr>
            <w:r>
              <w:rPr>
                <w:b/>
              </w:rPr>
              <w:t>配套与协同</w:t>
            </w:r>
            <w:r>
              <w:t>。东莞（封测、设备材料、物流）、佛山/惠州（封装测试、电子化学品）、中山、汕头等地建设新型电子元器件或特色材料集聚区。</w:t>
            </w:r>
          </w:p>
        </w:tc>
        <w:tc>
          <w:tcPr>
            <w:tcW w:w="3139" w:type="dxa"/>
            <w:vAlign w:val="center"/>
          </w:tcPr>
          <w:p w14:paraId="1A8F4F5C">
            <w:pPr>
              <w:jc w:val="left"/>
            </w:pPr>
            <w:r>
              <w:t>东莞港空港中心（物流枢纽）、松山湖材料实验室、佛山南海/三水园区等。</w:t>
            </w:r>
          </w:p>
        </w:tc>
      </w:tr>
    </w:tbl>
    <w:p w14:paraId="F0A32628">
      <w:pPr/>
      <w:r>
        <w:t xml:space="preserve">    广东集成电路产业呈现穗深珠领衔、多点支撑、特色互补的空间结构，三大核心城市功能清晰、协同发力。</w:t>
      </w:r>
    </w:p>
    <w:p w14:paraId="E9B23F4A">
      <w:pPr>
        <w:rPr>
          <w:lang w:val="en-US"/>
        </w:rPr>
      </w:pPr>
      <w:r>
        <w:rPr>
          <w:lang w:val="en-US"/>
        </w:rPr>
        <w:t>（二）产业空间布局细化</w:t>
      </w:r>
    </w:p>
    <w:p w14:paraId="F594306F">
      <w:pPr>
        <w:rPr>
          <w:lang w:val="en-US"/>
        </w:rPr>
      </w:pPr>
      <w:r>
        <w:rPr>
          <w:lang w:val="en-US"/>
        </w:rPr>
        <w:t>1. 深圳：形成东部硅基、西部化合物、中部设计格局；南山/福田为设计集聚区，宝安/龙华聚焦化合物半导体，龙岗/坪山布局硅基制造与装备材料。</w:t>
      </w:r>
    </w:p>
    <w:p w14:paraId="22265862">
      <w:pPr>
        <w:rPr>
          <w:lang w:val="en-US"/>
        </w:rPr>
      </w:pPr>
      <w:r>
        <w:rPr>
          <w:lang w:val="en-US"/>
        </w:rPr>
        <w:t>2. 广州：黄埔一核两极多点，北部制造、中部研发、南部应用场景；南沙聚焦宽禁带半导体与新能源汽车应用。</w:t>
      </w:r>
    </w:p>
    <w:p w14:paraId="0568870E">
      <w:pPr>
        <w:rPr>
          <w:lang w:val="en-US"/>
        </w:rPr>
      </w:pPr>
      <w:r>
        <w:rPr>
          <w:lang w:val="en-US"/>
        </w:rPr>
        <w:t>​3. 珠海：高新区省级特色产业园，化合物半导体全链条，建成全省首条TSV立体封装产线。</w:t>
      </w:r>
    </w:p>
    <w:p w14:paraId="FED320C1">
      <w:pPr>
        <w:pStyle w:val="25"/>
        <w:numPr>
          <w:ilvl w:val="0"/>
          <w:numId w:val="1"/>
        </w:numPr>
        <w:ind w:firstLineChars="0"/>
      </w:pPr>
      <w:r>
        <w:rPr>
          <w:lang w:val="en-US"/>
        </w:rPr>
        <w:t> 全域园区：全省布局一批特色专业园区，包括深圳第三代半导体产业园、广州南沙科创中心芯新产业园、中山/清远/韶关/肇庆等协同园区，形成集群效应。</w:t>
      </w:r>
    </w:p>
    <w:p w14:paraId="C218E8B6">
      <w:pPr>
        <w:numPr>
          <w:ilvl w:val="0"/>
          <w:numId w:val="0"/>
        </w:numPr>
      </w:pPr>
      <w:r>
        <w:drawing>
          <wp:inline distT="0" distB="0" distL="114300" distR="114300">
            <wp:extent cx="5487035" cy="3089275"/>
            <wp:effectExtent l="0" t="0" r="3175" b="635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9CD5">
      <w:pPr>
        <w:pStyle w:val="5"/>
      </w:pPr>
      <w:r>
        <w:rPr>
          <w:b/>
        </w:rPr>
        <w:t>二、 产业链完整度：设计业领先，制造与材料环节加速补强</w:t>
      </w:r>
    </w:p>
    <w:p w14:paraId="1604098F">
      <w:pPr/>
      <w:r>
        <w:t>广东省已构建覆盖设计、制造、封测、设备、材料等环节的全产业链生态，但各环节发展不均衡</w:t>
      </w:r>
      <w:r>
        <w:rPr>
          <w:lang w:val="en-US"/>
        </w:rPr>
        <w:t>，呈现设计领跑、制造突破、封测稳健、材料短板的特征，产业链完整性约70%。</w:t>
      </w:r>
    </w:p>
    <w:p w14:paraId="809A6A79">
      <w:pPr>
        <w:numPr>
          <w:ilvl w:val="0"/>
          <w:numId w:val="2"/>
        </w:numPr>
      </w:pPr>
      <w:r>
        <w:rPr>
          <w:b/>
        </w:rPr>
        <w:t>集成电路设计</w:t>
      </w:r>
      <w:r>
        <w:t>：</w:t>
      </w:r>
      <w:r>
        <w:rPr>
          <w:b/>
        </w:rPr>
        <w:t>全国领先，优势突出</w:t>
      </w:r>
      <w:r>
        <w:t>。</w:t>
      </w:r>
      <w:r>
        <w:rPr>
          <w:lang w:val="en-US"/>
        </w:rPr>
        <w:t>- 规模与地位：深圳、珠海设计业规模常年位居全国前十；2024年深圳设计业营收突破1700亿元，企业占全市集成电路企业七成以上。产品覆盖CPU、GPU、FPGA、射频、车规芯片、AI芯片、传感器、功率器件等。有海思半导体、中兴微电子、汇顶科技、比亚迪半导体等行业龙头聚集。</w:t>
      </w:r>
    </w:p>
    <w:p w14:paraId="4527D2E2">
      <w:pPr>
        <w:numPr>
          <w:ilvl w:val="0"/>
          <w:numId w:val="2"/>
        </w:numPr>
      </w:pPr>
      <w:r>
        <w:rPr>
          <w:b/>
        </w:rPr>
        <w:t>集成电路制造</w:t>
      </w:r>
      <w:r>
        <w:t>：</w:t>
      </w:r>
      <w:r>
        <w:rPr>
          <w:b/>
        </w:rPr>
        <w:t>进入突破期，产能快速提升</w:t>
      </w:r>
      <w:r>
        <w:t>。过去是短板，现通过粤芯、增芯、中芯国际、华润微等重大项目建设，大力发展特色工艺（模拟芯片、MEMS传感器、车规级）与先进制程。至2024年底，全省</w:t>
      </w:r>
      <w:r>
        <w:rPr>
          <w:b/>
        </w:rPr>
        <w:t>12英寸晶圆月产能已突破10万片</w:t>
      </w:r>
      <w:r>
        <w:t>，自主可控能力增强。</w:t>
      </w:r>
    </w:p>
    <w:p w14:paraId="64C8C18C">
      <w:pPr>
        <w:numPr>
          <w:ilvl w:val="0"/>
          <w:numId w:val="2"/>
        </w:numPr>
      </w:pPr>
      <w:r>
        <w:rPr>
          <w:b/>
        </w:rPr>
        <w:t>封测与配套</w:t>
      </w:r>
      <w:r>
        <w:t>：</w:t>
      </w:r>
      <w:r>
        <w:rPr>
          <w:b/>
        </w:rPr>
        <w:t>封测环节较强，上游材料对外依存度高</w:t>
      </w:r>
      <w:r>
        <w:t>。2024年深圳封测环节营收达500亿元。设备（2024年深圳营收195亿元）和材料（营收超100亿元）领域增长迅速，但在光刻胶、高纯气体等关键材料上仍依赖进口。</w:t>
      </w:r>
      <w:r>
        <w:rPr>
          <w:b/>
        </w:rPr>
        <w:t>产业链整体完整度约70%</w:t>
      </w:r>
      <w:r>
        <w:t>，制造与材料是当前补链重点。</w:t>
      </w:r>
    </w:p>
    <w:p w14:paraId="784A556B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45380" cy="2780665"/>
            <wp:effectExtent l="0" t="0" r="0" b="635"/>
            <wp:docPr id="1" name="图片 1" descr="2026-04-27 11:42:15.62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27 11:42:15.623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F613">
      <w:pPr/>
      <w:r>
        <w:rPr>
          <w:b/>
        </w:rPr>
        <w:t>典型案例</w:t>
      </w:r>
      <w:r>
        <w:t>：</w:t>
      </w:r>
    </w:p>
    <w:p w14:paraId="C92DB814">
      <w:pPr/>
      <w:r>
        <w:rPr>
          <w:b/>
        </w:rPr>
        <w:t xml:space="preserve">      广州高新区</w:t>
      </w:r>
      <w:r>
        <w:t>：已集聚上下游企业超150家，基本形成“</w:t>
      </w:r>
      <w:r>
        <w:rPr>
          <w:b/>
        </w:rPr>
        <w:t>设计-制造-封测-配套</w:t>
      </w:r>
      <w:r>
        <w:t>”于一体的全产业链。北部（制造区）、中部（设计研发区）、南部（应用展示区）三大集聚区协同发展。</w:t>
      </w:r>
    </w:p>
    <w:p w14:paraId="DA4845FC">
      <w:pPr/>
      <w:r>
        <w:rPr>
          <w:b/>
        </w:rPr>
        <w:t xml:space="preserve">     深圳龙岗区</w:t>
      </w:r>
      <w:r>
        <w:t>：产业链较为完备，已形成涵盖设计、制造、封测、设备、材料、平台、检测机构的全产业体系。</w:t>
      </w:r>
    </w:p>
    <w:p w14:paraId="5A929490">
      <w:pPr>
        <w:pStyle w:val="5"/>
      </w:pPr>
      <w:r>
        <w:rPr>
          <w:b/>
        </w:rPr>
        <w:t>三、 核心配套设施</w:t>
      </w:r>
      <w:bookmarkStart w:id="0" w:name="_GoBack"/>
      <w:bookmarkEnd w:id="0"/>
    </w:p>
    <w:p w14:paraId="706EB0BA">
      <w:pPr>
        <w:numPr>
          <w:ilvl w:val="0"/>
          <w:numId w:val="3"/>
        </w:numPr>
      </w:pPr>
      <w:r>
        <w:rPr>
          <w:b/>
        </w:rPr>
        <w:t>研发平台</w:t>
      </w:r>
      <w:r>
        <w:t>：</w:t>
      </w:r>
    </w:p>
    <w:p w14:paraId="5FC6270A">
      <w:pPr>
        <w:ind w:leftChars="220"/>
      </w:pPr>
      <w:r>
        <w:rPr>
          <w:b/>
        </w:rPr>
        <w:t>高端创新机构</w:t>
      </w:r>
      <w:r>
        <w:t>：拥有粤港澳大湾区国家技术创新中心、大湾区集成电路与系统应用研究院（广州）、鹏城实验室、国家第三代半导体技术创新中心（深圳）等。</w:t>
      </w:r>
    </w:p>
    <w:p w14:paraId="8E7D0270">
      <w:pPr>
        <w:ind w:leftChars="220"/>
      </w:pPr>
      <w:r>
        <w:rPr>
          <w:b/>
        </w:rPr>
        <w:t>产学研合作</w:t>
      </w:r>
      <w:r>
        <w:t>：广州与西安电子科技大学共建研究院及研究生院；珠海依托澳门大学微电子科研力量。</w:t>
      </w:r>
    </w:p>
    <w:p w14:paraId="9BD3EE04">
      <w:pPr>
        <w:numPr>
          <w:ilvl w:val="0"/>
          <w:numId w:val="3"/>
        </w:numPr>
      </w:pPr>
      <w:r>
        <w:rPr>
          <w:b/>
        </w:rPr>
        <w:t>生产基地与产业空间</w:t>
      </w:r>
      <w:r>
        <w:t>：</w:t>
      </w:r>
    </w:p>
    <w:p w14:paraId="1963689F">
      <w:pPr>
        <w:ind w:leftChars="220"/>
      </w:pPr>
      <w:r>
        <w:t>各核心城市均规划建设了专业产业园区，如深圳新一代信息技术产业园、广州“万亩芯园”、珠海高新区半导体产业园等，形成集群效应。深圳、广州等地持续整备产业用地，未来将释放超千公顷产业空间，保障项目落地。</w:t>
      </w:r>
    </w:p>
    <w:p w14:paraId="AD1EF2F5">
      <w:pPr>
        <w:numPr>
          <w:ilvl w:val="0"/>
          <w:numId w:val="3"/>
        </w:numPr>
      </w:pPr>
      <w:r>
        <w:rPr>
          <w:b/>
        </w:rPr>
        <w:t>物流体系</w:t>
      </w:r>
      <w:r>
        <w:t>：</w:t>
      </w:r>
    </w:p>
    <w:p w14:paraId="10752A80">
      <w:pPr>
        <w:ind w:leftChars="220"/>
      </w:pPr>
      <w:r>
        <w:rPr>
          <w:b/>
        </w:rPr>
        <w:t>东莞港空港中心</w:t>
      </w:r>
      <w:r>
        <w:t>是大湾区芯片进出口的核心物流枢纽，实现“一次申报、一次安检”，货物约14小时即可上机，节省约30%物流成本。</w:t>
      </w:r>
      <w:r>
        <w:rPr>
          <w:b/>
        </w:rPr>
        <w:t>广州港、深圳港</w:t>
      </w:r>
      <w:r>
        <w:t>的电子元器件分拨中心，支撑大宗原材料与生产设备的进口。</w:t>
      </w:r>
    </w:p>
    <w:p w14:paraId="2ED0892A">
      <w:pPr>
        <w:numPr>
          <w:ilvl w:val="0"/>
          <w:numId w:val="3"/>
        </w:numPr>
      </w:pPr>
      <w:r>
        <w:rPr>
          <w:b/>
        </w:rPr>
        <w:t>产业生态平台</w:t>
      </w:r>
      <w:r>
        <w:t>：</w:t>
      </w:r>
    </w:p>
    <w:p w14:paraId="D30CC28B">
      <w:pPr>
        <w:numPr>
          <w:ilvl w:val="0"/>
          <w:numId w:val="4"/>
        </w:numPr>
      </w:pPr>
      <w:r>
        <w:t>建设公共技术服务平台、国家示范性微电子学院等。</w:t>
      </w:r>
    </w:p>
    <w:p w14:paraId="C9D61A03">
      <w:pPr>
        <w:numPr>
          <w:ilvl w:val="0"/>
          <w:numId w:val="4"/>
        </w:numPr>
      </w:pPr>
      <w:r>
        <w:t>成立产业联盟，如深圳市半导体与集成电路产业联盟（深芯盟），促进大中小企业供应链合作。</w:t>
      </w:r>
    </w:p>
    <w:p w14:paraId="DE729EF9">
      <w:pPr>
        <w:numPr>
          <w:ilvl w:val="0"/>
          <w:numId w:val="4"/>
        </w:numPr>
      </w:pPr>
      <w:r>
        <w:t>开放智慧安防等应用场景供技术试验。</w:t>
      </w:r>
    </w:p>
    <w:p w14:paraId="9DA75260">
      <w:pPr>
        <w:pStyle w:val="5"/>
      </w:pPr>
      <w:r>
        <w:rPr>
          <w:b/>
        </w:rPr>
        <w:t>四、 技术基础与突破</w:t>
      </w:r>
    </w:p>
    <w:p w14:paraId="BBC9D2D2">
      <w:pPr>
        <w:numPr>
          <w:ilvl w:val="0"/>
          <w:numId w:val="5"/>
        </w:numPr>
      </w:pPr>
      <w:r>
        <w:rPr>
          <w:b/>
        </w:rPr>
        <w:t>专利数量</w:t>
      </w:r>
      <w:r>
        <w:t>：2024年，广东省集成电路领域公开专利</w:t>
      </w:r>
      <w:r>
        <w:rPr>
          <w:b/>
        </w:rPr>
        <w:t>10,203件</w:t>
      </w:r>
      <w:r>
        <w:t>，位居全国首位，主要集中在设计、封装等领域。</w:t>
      </w:r>
    </w:p>
    <w:p w14:paraId="D545AE0C">
      <w:pPr>
        <w:numPr>
          <w:ilvl w:val="0"/>
          <w:numId w:val="5"/>
        </w:numPr>
      </w:pPr>
      <w:r>
        <w:rPr>
          <w:b/>
        </w:rPr>
        <w:t>核心技术突破</w:t>
      </w:r>
      <w:r>
        <w:t>：</w:t>
      </w:r>
    </w:p>
    <w:p w14:paraId="325D289A">
      <w:pPr>
        <w:ind w:leftChars="220"/>
      </w:pPr>
      <w:r>
        <w:rPr>
          <w:b/>
        </w:rPr>
        <w:t>特色工艺与制造</w:t>
      </w:r>
      <w:r>
        <w:t>：粤芯半导体实现模拟芯片量产；增芯MEMS传感器产线通线；多家企业推进12英寸先进产线建设。</w:t>
      </w:r>
    </w:p>
    <w:p w14:paraId="7312D0E1">
      <w:pPr>
        <w:ind w:leftChars="220"/>
      </w:pPr>
      <w:r>
        <w:rPr>
          <w:b/>
        </w:rPr>
        <w:t>第三代半导体</w:t>
      </w:r>
      <w:r>
        <w:t>：在碳化硅（SiC）、氮化镓（GaN）领域形成特色。芯粤能、芯聚能、方正微电子等企业在车规级功率器件、外延片等方面实现突破。珠海拥有8英寸硅基氮化镓量产线。</w:t>
      </w:r>
    </w:p>
    <w:p w14:paraId="6F8448DE">
      <w:pPr>
        <w:ind w:leftChars="220"/>
      </w:pPr>
      <w:r>
        <w:rPr>
          <w:b/>
        </w:rPr>
        <w:t>先进封装</w:t>
      </w:r>
      <w:r>
        <w:t>：支持并布局晶圆级封装、三维封装、芯粒（Chiplet）技术。珠海天成先进建成全省首条TSV立体封装产线。</w:t>
      </w:r>
    </w:p>
    <w:p w14:paraId="BCDBCD5C">
      <w:pPr>
        <w:ind w:leftChars="220"/>
      </w:pPr>
      <w:r>
        <w:rPr>
          <w:b/>
        </w:rPr>
        <w:t>EDA/IP与关键芯片</w:t>
      </w:r>
      <w:r>
        <w:t>：华大九天、概伦电子等在EDA工具和IP核上推进国产替代。在车规芯片（比亚迪半导体）、电池管理芯片（创芯微）、AI芯片（云天励飞）、UWB芯片（纽瑞芯科技）等领域涌现出一批创新产品。</w:t>
      </w:r>
    </w:p>
    <w:p w14:paraId="23608B29">
      <w:pPr>
        <w:ind w:leftChars="220"/>
      </w:pPr>
      <w:r>
        <w:rPr>
          <w:b/>
        </w:rPr>
        <w:t>未来产业</w:t>
      </w:r>
      <w:r>
        <w:t>：广东省通过“强芯工程”加大对</w:t>
      </w:r>
      <w:r>
        <w:rPr>
          <w:b/>
        </w:rPr>
        <w:t>光芯片</w:t>
      </w:r>
      <w:r>
        <w:t>的支持力度，意图打造光芯片全产业链，培育光计算芯片等未来方向。</w:t>
      </w:r>
    </w:p>
    <w:p w14:paraId="FF086795">
      <w:pPr>
        <w:pStyle w:val="5"/>
      </w:pPr>
      <w:r>
        <w:rPr>
          <w:b/>
        </w:rPr>
        <w:t>五、 产业规模与目标</w:t>
      </w:r>
    </w:p>
    <w:p w14:paraId="33A5E8F2">
      <w:pPr/>
      <w:r>
        <w:t>2024年，广东省半导体及集成电路产业营业收入</w:t>
      </w:r>
      <w:r>
        <w:rPr>
          <w:b/>
        </w:rPr>
        <w:t>超过3200亿元</w:t>
      </w:r>
      <w:r>
        <w:t>。其中，深圳市贡献2839.6亿元。根据规划，产业目标到</w:t>
      </w:r>
      <w:r>
        <w:rPr>
          <w:b/>
        </w:rPr>
        <w:t>2025年营业收入突破4000亿元</w:t>
      </w:r>
      <w:r>
        <w:t>，粤港澳大湾区正成为中国半导体产业的核心增长极。</w:t>
      </w:r>
    </w:p>
    <w:p w14:paraId="FACE5586">
      <w:pPr/>
      <w:r>
        <w:t>广东省集成电路产业已形成设计领先、制造提速、封测配套、全链发展的良好态势，并在第三代半导体、特色工艺等赛道形成局部优势。下一步发展重点在于补齐高端制造与关键材料短板，巩固设计优势，并通过“3+N”格局的协同，打造世界级集成电路产业集群。</w:t>
      </w:r>
    </w:p>
    <w:p w14:paraId="2B87D306">
      <w:pPr/>
    </w:p>
    <w:p w14:paraId="F47BE932">
      <w:pPr/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default"/>
    <w:sig w:usb0="00000000" w:usb1="00000000" w:usb2="00000000" w:usb3="00000000" w:csb0="0000019F" w:csb1="00000000"/>
  </w:font>
  <w:font w:name="Monaco">
    <w:altName w:val="Monac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微软雅黑">
    <w:altName w:val="微软雅黑"/>
    <w:panose1 w:val="020B0503020002020204"/>
    <w:charset w:val="86"/>
    <w:family w:val="swiss"/>
    <w:pitch w:val="default"/>
    <w:sig w:usb0="00000000" w:usb1="0000000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nsid w:val="00000004"/>
    <w:multiLevelType w:val="multilevel"/>
    <w:tmpl w:val="00000004"/>
    <w:lvl w:ilvl="0" w:tentative="0">
      <w:start w:val="4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微软雅黑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99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6">
    <w:name w:val="Default Paragraph Font"/>
    <w:uiPriority w:val="1"/>
  </w:style>
  <w:style w:type="table" w:default="1" w:styleId="18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="宋体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="宋体"/>
      <w:b/>
      <w:bCs/>
      <w:sz w:val="48"/>
      <w:szCs w:val="32"/>
    </w:rPr>
  </w:style>
  <w:style w:type="character" w:styleId="17">
    <w:name w:val="Hyperlink"/>
    <w:basedOn w:val="16"/>
    <w:uiPriority w:val="0"/>
    <w:rPr>
      <w:color w:val="1E6FFF"/>
      <w:u w:val="single"/>
    </w:rPr>
  </w:style>
  <w:style w:type="table" w:styleId="19">
    <w:name w:val="Table Grid"/>
    <w:basedOn w:val="18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  <w:tblLayout w:type="fixed"/>
    </w:tblPr>
    <w:tcPr>
      <w:vAlign w:val="center"/>
    </w:tcPr>
  </w:style>
  <w:style w:type="character" w:customStyle="1" w:styleId="20">
    <w:name w:val="标题 字符"/>
    <w:basedOn w:val="16"/>
    <w:link w:val="15"/>
    <w:uiPriority w:val="0"/>
    <w:rPr>
      <w:rFonts w:ascii="Arial" w:hAnsi="Arial" w:eastAsia="微软雅黑" w:cs="宋体"/>
      <w:b/>
      <w:bCs/>
      <w:kern w:val="2"/>
      <w:sz w:val="48"/>
      <w:szCs w:val="32"/>
    </w:rPr>
  </w:style>
  <w:style w:type="paragraph" w:customStyle="1" w:styleId="2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副标题 字符"/>
    <w:basedOn w:val="16"/>
    <w:link w:val="14"/>
    <w:uiPriority w:val="0"/>
    <w:rPr>
      <w:rFonts w:ascii="Arial" w:hAnsi="Arial" w:eastAsia="微软雅黑" w:cs="宋体"/>
      <w:b/>
      <w:bCs/>
      <w:kern w:val="28"/>
      <w:sz w:val="44"/>
      <w:szCs w:val="32"/>
    </w:rPr>
  </w:style>
  <w:style w:type="table" w:customStyle="1" w:styleId="23">
    <w:name w:val="Doc Table Column 1st"/>
    <w:basedOn w:val="19"/>
    <w:uiPriority w:val="50"/>
    <w:tblPr>
      <w:tblLayout w:type="fixed"/>
    </w:tblPr>
    <w:tblStylePr w:type="firstRow">
      <w:tblPr>
        <w:tblLayout w:type="fixed"/>
      </w:tblPr>
      <w:tcPr>
        <w:shd w:val="clear" w:color="auto" w:fill="F3F5F7"/>
      </w:tcPr>
    </w:tblStylePr>
    <w:tblStylePr w:type="firstCol">
      <w:tblPr>
        <w:tblLayout w:type="fixed"/>
      </w:tblPr>
      <w:tcPr>
        <w:shd w:val="clear" w:color="auto" w:fill="F3F5F7"/>
      </w:tcPr>
    </w:tblStylePr>
  </w:style>
  <w:style w:type="character" w:customStyle="1" w:styleId="24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customStyle="1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2574</Words>
  <Characters>2722</Characters>
  <Lines>0</Lines>
  <Paragraphs>68</Paragraphs>
  <ScaleCrop>false</ScaleCrop>
  <LinksUpToDate>false</LinksUpToDate>
  <CharactersWithSpaces>2747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2026-04-27T19:18:52Z</dcterms:created>
  <dc:creator>WPS Office</dc:creator>
  <cp:lastModifiedBy>iPhone</cp:lastModifiedBy>
  <dcterms:modified xsi:type="dcterms:W3CDTF">2026-04-27T11:42:32Z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f28175d74f6749a4b3f4c55a68fac45f</vt:lpwstr>
  </property>
  <property fmtid="{D5CDD505-2E9C-101B-9397-08002B2CF9AE}" pid="3" name="KSOProductBuildVer">
    <vt:lpwstr>2052-12.27.0</vt:lpwstr>
  </property>
</Properties>
</file>