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Cluster Competitiveness Analysis — Theoretical Foundations</w:t>
      </w:r>
    </w:p>
    <w:p>
      <w:pPr>
        <w:pBdr>
          <w:bottom w:val="single" w:color="auto" w:sz="6" w:space="1"/>
        </w:pBdr>
        <w:spacing w:after="120"/>
      </w:pPr>
    </w:p>
    <w:p>
      <w:pPr>
        <w:spacing w:after="200"/>
      </w:pPr>
      <w:r>
        <w:t xml:space="preserve"> </w:t>
      </w:r>
    </w:p>
    <w:p>
      <w:pPr>
        <w:spacing w:after="120"/>
        <w:jc w:val="left"/>
      </w:pPr>
      <w:r>
        <w:t xml:space="preserve">The competitiveness of industrial clusters is not a spontaneous outcome but the result of systematic interactions among factor endowments, market dynamics, institutional environments, and spatial organization. This report adopts two complementary theoretical frameworks — Michael Porter's </w:t>
      </w:r>
      <w:r>
        <w:rPr>
          <w:b/>
          <w:bCs/>
        </w:rPr>
        <w:t xml:space="preserve">Diamond Model</w:t>
      </w:r>
      <w:r>
        <w:t xml:space="preserve"> (1990) and David Ricardo's </w:t>
      </w:r>
      <w:r>
        <w:rPr>
          <w:b/>
          <w:bCs/>
        </w:rPr>
        <w:t xml:space="preserve">Comparative Advantage Theory</w:t>
      </w:r>
      <w:r>
        <w:t xml:space="preserve"> (1817, as extended by Heckscher–Ohlin and subsequent scholars) — to structure the analysis of Guangdong's IC cluster competitiveness. The Diamond Model provides a comprehensive, multi-factor lens for diagnosing the strengths and weaknesses of a specific cluster, while Comparative Advantage Theory anchors the analysis in cross-regional and international benchmarking, revealing where Guangdong should specialize relative to competitors.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Porter's Diamond Model</w:t>
      </w:r>
    </w:p>
    <w:p>
      <w:pPr>
        <w:spacing w:after="120"/>
        <w:jc w:val="left"/>
      </w:pPr>
      <w:r>
        <w:t xml:space="preserve">Porter (1990) argued that the competitive advantage of nations — and by extension, of regions — is </w:t>
      </w:r>
      <w:r>
        <w:rPr>
          <w:b/>
          <w:bCs/>
        </w:rPr>
        <w:t xml:space="preserve">created</w:t>
      </w:r>
      <w:r>
        <w:t xml:space="preserve"> rather than inherited, and that it resides in the productivity with which a location's resources are deployed in a given industry. The Diamond Model identifies six interdependent determinants:</w:t>
      </w:r>
    </w:p>
    <w:p>
      <w:pPr>
        <w:spacing w:after="200"/>
      </w:pPr>
      <w:r>
        <w:t xml:space="preserve"> </w:t>
      </w:r>
    </w:p>
    <w:p>
      <w:pPr>
        <w:pStyle w:val="Heading3"/>
        <w:spacing w:after="200"/>
        <w:jc w:val="left"/>
      </w:pPr>
      <w:r>
        <w:t xml:space="preserve">1.1 Factor Conditions</w:t>
      </w:r>
    </w:p>
    <w:p>
      <w:pPr>
        <w:spacing w:after="120"/>
        <w:jc w:val="left"/>
      </w:pPr>
      <w:r>
        <w:t xml:space="preserve">These encompass a region's endowment of production factors: human resources (talent pools, skill levels), physical resources (land, utilities, logistics), knowledge resources (universities, research institutes, patent stock), capital resources (venture capital, government funds), and infrastructure (transport, digital connectivity). Critically, Porter distinguishes between </w:t>
      </w:r>
      <w:r>
        <w:rPr>
          <w:b/>
          <w:bCs/>
        </w:rPr>
        <w:t xml:space="preserve">basic factors</w:t>
      </w:r>
      <w:r>
        <w:t xml:space="preserve"> (natural endowments, unskilled labor) and </w:t>
      </w:r>
      <w:r>
        <w:rPr>
          <w:b/>
          <w:bCs/>
        </w:rPr>
        <w:t xml:space="preserve">advanced factors</w:t>
      </w:r>
      <w:r>
        <w:t xml:space="preserve"> (specialized talent, R&amp;D capabilities, advanced infrastructure). Advanced factors, which must be created through sustained investment, are the true drivers of sustainable competitive advantage. For the IC industry, factor conditions center on the availability of semiconductor-specific engineering talent, wafer-fabrication facilities, EDA tool access, and specialized testing and packaging infrastructure.</w:t>
      </w:r>
    </w:p>
    <w:p>
      <w:pPr>
        <w:spacing w:after="200"/>
      </w:pPr>
      <w:r>
        <w:t xml:space="preserve"> </w:t>
      </w:r>
    </w:p>
    <w:p>
      <w:pPr>
        <w:pStyle w:val="Heading3"/>
        <w:spacing w:after="200"/>
        <w:jc w:val="left"/>
      </w:pPr>
      <w:r>
        <w:t xml:space="preserve">1.2 Demand Conditions</w:t>
      </w:r>
    </w:p>
    <w:p>
      <w:pPr>
        <w:spacing w:after="120"/>
        <w:jc w:val="left"/>
      </w:pPr>
      <w:r>
        <w:t xml:space="preserve">The nature and sophistication of local demand shape the pace and direction of innovation. A large, demanding, and forward-looking home market pressures firms to innovate faster than rivals serving more distant markets. Guangdong benefits from the largest IC application market in China, with end-users in consumer electronics (smartphones, wearables), automotive electronics (EVs, ADAS), industrial control, and AI/computing. The province's OEM/ODM ecosystem — among the densest in the world — generates immediate, specification-rich feedback from global clients, acting as a "demand pull" mechanism for IC design and manufacturing improvement.</w:t>
      </w:r>
    </w:p>
    <w:p>
      <w:pPr>
        <w:spacing w:after="200"/>
      </w:pPr>
      <w:r>
        <w:t xml:space="preserve"> </w:t>
      </w:r>
    </w:p>
    <w:p>
      <w:pPr>
        <w:pStyle w:val="Heading3"/>
        <w:spacing w:after="200"/>
        <w:jc w:val="left"/>
      </w:pPr>
      <w:r>
        <w:t xml:space="preserve">1.3 Related and Supporting Industries</w:t>
      </w:r>
    </w:p>
    <w:p>
      <w:pPr>
        <w:spacing w:after="120"/>
        <w:jc w:val="left"/>
      </w:pPr>
      <w:r>
        <w:t xml:space="preserve">Competitive advantage in one industry is often reinforced by the presence of internationally competitive suppliers and related industries. In semiconductors, the supporting ecosystem includes EDA software, semiconductor equipment, specialty chemicals and gases, silicon wafers, advanced substrates, and testing/characterization services. Guangdong's electronics manufacturing ecosystem — spanning components, modules, assembly, and logistics — constitutes a dense network of related industries that collectively lower transaction costs and accelerate the diffusion of process and product innovations.</w:t>
      </w:r>
    </w:p>
    <w:p>
      <w:pPr>
        <w:spacing w:after="200"/>
      </w:pPr>
      <w:r>
        <w:t xml:space="preserve"> </w:t>
      </w:r>
    </w:p>
    <w:p>
      <w:pPr>
        <w:pStyle w:val="Heading3"/>
        <w:spacing w:after="200"/>
        <w:jc w:val="left"/>
      </w:pPr>
      <w:r>
        <w:t xml:space="preserve">1.4 Firm Strategy, Structure, and Rivalry</w:t>
      </w:r>
    </w:p>
    <w:p>
      <w:pPr>
        <w:spacing w:after="120"/>
        <w:jc w:val="left"/>
      </w:pPr>
      <w:r>
        <w:t xml:space="preserve">The conditions governing how firms are created, organized, and managed, together with the intensity of domestic rivalry, shape competitive behavior. </w:t>
      </w:r>
      <w:r>
        <w:rPr>
          <w:b/>
          <w:bCs/>
        </w:rPr>
        <w:t xml:space="preserve">Vigorous domestic rivalry</w:t>
      </w:r>
      <w:r>
        <w:t xml:space="preserve"> — rather than the absence of competition — is what drives firms to upgrade and innovate. Guangdong's IC landscape features a mix of large technology platforms (Huawei HiSilicon, ZTE Micro), publicly listed fabless companies, and a large population of small and micro design firms, creating a competitive environment that pressures firms toward specialization and continuous improvement. The intensity of rivalry in the design segment in particular has accelerated time-to-market cycles and spurred differentiation in AI, IoT, and automotive chips.</w:t>
      </w:r>
    </w:p>
    <w:p>
      <w:pPr>
        <w:spacing w:after="200"/>
      </w:pPr>
      <w:r>
        <w:t xml:space="preserve"> </w:t>
      </w:r>
    </w:p>
    <w:p>
      <w:pPr>
        <w:pStyle w:val="Heading3"/>
        <w:spacing w:after="200"/>
        <w:jc w:val="left"/>
      </w:pPr>
      <w:r>
        <w:t xml:space="preserve">1.5 Government</w:t>
      </w:r>
    </w:p>
    <w:p>
      <w:pPr>
        <w:spacing w:after="120"/>
        <w:jc w:val="left"/>
      </w:pPr>
      <w:r>
        <w:t xml:space="preserve">Porter treated government as an influencing factor that can improve or undermine the other four determinants but cannot itself create competitive advantage. Governments shape the business environment through subsidies, tax policy, education investment, infrastructure provision, and regulatory frameworks. In China's semiconductor industry, government plays a particularly prominent role — from the National IC Industry Investment Fund ("Big Fund") to provincial and municipal action plans (e.g., Guangdong's "Strengthening the Core" / 广东强芯 program). Evaluating the </w:t>
      </w:r>
      <w:r>
        <w:rPr>
          <w:b/>
          <w:bCs/>
        </w:rPr>
        <w:t xml:space="preserve">effectiveness</w:t>
      </w:r>
      <w:r>
        <w:t xml:space="preserve"> and </w:t>
      </w:r>
      <w:r>
        <w:rPr>
          <w:b/>
          <w:bCs/>
        </w:rPr>
        <w:t xml:space="preserve">targeting</w:t>
      </w:r>
      <w:r>
        <w:t xml:space="preserve"> of these policy instruments, rather than their mere existence, is a central concern of this report.</w:t>
      </w:r>
    </w:p>
    <w:p>
      <w:pPr>
        <w:spacing w:after="200"/>
      </w:pPr>
      <w:r>
        <w:t xml:space="preserve"> </w:t>
      </w:r>
    </w:p>
    <w:p>
      <w:pPr>
        <w:pStyle w:val="Heading3"/>
        <w:spacing w:after="200"/>
        <w:jc w:val="left"/>
      </w:pPr>
      <w:r>
        <w:t xml:space="preserve">1.6 Chance</w:t>
      </w:r>
    </w:p>
    <w:p>
      <w:pPr>
        <w:spacing w:after="120"/>
        <w:jc w:val="left"/>
      </w:pPr>
      <w:r>
        <w:t xml:space="preserve">Random events — technological breakthroughs, wars, shifts in global supply chains — can reshape competitive positions. The US–China technology decoupling and export controls since 2019 constitute a major chance event that has fundamentally altered the cost-benefit calculus of domestic IC investment in China, creating both an existential threat (loss of access to advanced tools) and a historic opportunity (a protected market for indigenous suppliers to scale and mature).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Comparative Advantage Theory</w:t>
      </w:r>
    </w:p>
    <w:p>
      <w:pPr>
        <w:spacing w:after="120"/>
        <w:jc w:val="left"/>
      </w:pPr>
      <w:r>
        <w:t xml:space="preserve">If the Diamond Model explains </w:t>
      </w:r>
      <w:r>
        <w:rPr>
          <w:b/>
          <w:bCs/>
        </w:rPr>
        <w:t xml:space="preserve">why</w:t>
      </w:r>
      <w:r>
        <w:t xml:space="preserve"> a given cluster is (or is not) competitive, Comparative Advantage Theory addresses </w:t>
      </w:r>
      <w:r>
        <w:rPr>
          <w:b/>
          <w:bCs/>
        </w:rPr>
        <w:t xml:space="preserve">where</w:t>
      </w:r>
      <w:r>
        <w:t xml:space="preserve"> a region should direct its resources to maximize welfare gains from specialization and trade. The core insight, dating to Ricardo (1817), is that a region benefits from specializing in activities in which its relative productivity advantage is greatest (or relative productivity disadvantage is smallest). The Heckscher–Ohlin (1933) extension further links comparative advantage to relative factor endowments: a capital-abundant region will export capital-intensive goods, while a labor-abundant region will export labor-intensive goods.</w:t>
      </w:r>
    </w:p>
    <w:p>
      <w:pPr>
        <w:spacing w:after="200"/>
      </w:pPr>
      <w:r>
        <w:t xml:space="preserve"> </w:t>
      </w:r>
    </w:p>
    <w:p>
      <w:pPr>
        <w:spacing w:after="120"/>
        <w:jc w:val="left"/>
      </w:pPr>
      <w:r>
        <w:t xml:space="preserve">Applied to the IC industry, Comparative Advantage Theory yields several actionable implications:</w:t>
      </w:r>
    </w:p>
    <w:p>
      <w:pPr>
        <w:spacing w:after="200"/>
      </w:pPr>
      <w:r>
        <w:t xml:space="preserve"> </w:t>
      </w:r>
    </w:p>
    <w:p>
      <w:pPr>
        <w:pStyle w:val="Heading3"/>
        <w:spacing w:after="200"/>
        <w:jc w:val="left"/>
      </w:pPr>
      <w:r>
        <w:t xml:space="preserve">2.1 Factor Endowment Lens</w:t>
      </w:r>
    </w:p>
    <w:p>
      <w:pPr>
        <w:spacing w:after="120"/>
        <w:jc w:val="left"/>
      </w:pPr>
      <w:r>
        <w:t xml:space="preserve">Different segments of the IC value chain have markedly different factor intensities. IC design is </w:t>
      </w:r>
      <w:r>
        <w:rPr>
          <w:b/>
          <w:bCs/>
        </w:rPr>
        <w:t xml:space="preserve">human-capital-intensive</w:t>
      </w:r>
      <w:r>
        <w:t xml:space="preserve"> (relying on highly skilled engineers); wafer fabrication is </w:t>
      </w:r>
      <w:r>
        <w:rPr>
          <w:b/>
          <w:bCs/>
        </w:rPr>
        <w:t xml:space="preserve">capital-intensive</w:t>
      </w:r>
      <w:r>
        <w:t xml:space="preserve"> (a single 12-inch fab requires $5–10 billion); packaging and testing is relatively </w:t>
      </w:r>
      <w:r>
        <w:rPr>
          <w:b/>
          <w:bCs/>
        </w:rPr>
        <w:t xml:space="preserve">labor-intensive</w:t>
      </w:r>
      <w:r>
        <w:t xml:space="preserve">; and equipment/materials require deep </w:t>
      </w:r>
      <w:r>
        <w:rPr>
          <w:b/>
          <w:bCs/>
        </w:rPr>
        <w:t xml:space="preserve">science-technology linkages</w:t>
      </w:r>
      <w:r>
        <w:t xml:space="preserve">. A region's optimal position on the value chain is therefore shaped by its relative abundance of talent, capital, and scientific infrastructure.</w:t>
      </w:r>
    </w:p>
    <w:p>
      <w:pPr>
        <w:spacing w:after="200"/>
      </w:pPr>
      <w:r>
        <w:t xml:space="preserve"> </w:t>
      </w:r>
    </w:p>
    <w:p>
      <w:pPr>
        <w:pStyle w:val="Heading3"/>
        <w:spacing w:after="200"/>
        <w:jc w:val="left"/>
      </w:pPr>
      <w:r>
        <w:t xml:space="preserve">2.2 Intra-national vs. International Comparison</w:t>
      </w:r>
    </w:p>
    <w:p>
      <w:pPr>
        <w:pStyle w:val="ListParagraph"/>
        <w:numPr>
          <w:ilvl w:val="0"/>
          <w:numId w:val="2"/>
        </w:numPr>
        <w:spacing w:after="100"/>
        <w:ind w:start="240"/>
        <w:jc w:val="left"/>
      </w:pPr>
      <w:r>
        <w:rPr>
          <w:b/>
          <w:bCs/>
        </w:rPr>
        <w:t xml:space="preserve">Intra-national:</w:t>
      </w:r>
      <w:r>
        <w:t xml:space="preserve"> Within China, Guangdong's comparative advantage lies in its deep pools of design talent, dense electronics supply chains, and world-class seaport and logistics infrastructure — favoring design and advanced packaging. Shanghai's advantage lies in wafer manufacturing and equipment (stronger advanced-factor base in materials science and precision engineering).</w:t>
      </w:r>
    </w:p>
    <w:p>
      <w:pPr>
        <w:pStyle w:val="ListParagraph"/>
        <w:numPr>
          <w:ilvl w:val="0"/>
          <w:numId w:val="2"/>
        </w:numPr>
        <w:spacing w:after="100"/>
        <w:ind w:start="240"/>
        <w:jc w:val="left"/>
      </w:pPr>
      <w:r>
        <w:rPr>
          <w:b/>
          <w:bCs/>
        </w:rPr>
        <w:t xml:space="preserve">International:</w:t>
      </w:r>
      <w:r>
        <w:t xml:space="preserve"> Guangdong's labor and infrastructure cost advantage relative to TSMC's Taiwan fabs or Samsung's Korean operations is offset by technology gaps, creating a complex picture that the Diamond Model is better suited to unpack.</w:t>
      </w:r>
    </w:p>
    <w:p>
      <w:pPr>
        <w:spacing w:after="200"/>
      </w:pPr>
      <w:r>
        <w:t xml:space="preserve"> </w:t>
      </w:r>
    </w:p>
    <w:p>
      <w:pPr>
        <w:pStyle w:val="Heading3"/>
        <w:spacing w:after="200"/>
        <w:jc w:val="left"/>
      </w:pPr>
      <w:r>
        <w:t xml:space="preserve">2.3 Dynamic Comparative Advantage</w:t>
      </w:r>
    </w:p>
    <w:p>
      <w:pPr>
        <w:spacing w:after="120"/>
        <w:jc w:val="left"/>
      </w:pPr>
      <w:r>
        <w:t xml:space="preserve">Comparative advantage is not static. Through deliberate investment in advanced factors — particularly specialized human capital and R&amp;D infrastructure — Guangdong can (and is attempting to) shift its comparative advantage toward higher-value-added segments of the IC chain, notably manufacturing and equipment. This dynamic perspective bridges back to the Diamond Model's emphasis on factor creation as the foundation of sustainable competitiveness.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Integration and Analytical Framework</w:t>
      </w:r>
    </w:p>
    <w:p>
      <w:pPr>
        <w:spacing w:after="120"/>
        <w:jc w:val="left"/>
      </w:pPr>
      <w:r>
        <w:t xml:space="preserve">The two theories are deployed in a complementary, sequential manner throughout this chapter:</w:t>
      </w:r>
    </w:p>
    <w:p>
      <w:pPr>
        <w:spacing w:after="200"/>
      </w:pPr>
      <w:r>
        <w:t xml:space="preserve"> </w:t>
      </w:r>
    </w:p>
    <w:p>
      <w:pPr>
        <w:pStyle w:val="ListParagraph"/>
        <w:numPr>
          <w:ilvl w:val="0"/>
          <w:numId w:val="2"/>
        </w:numPr>
        <w:spacing w:after="100"/>
        <w:ind w:start="240"/>
        <w:jc w:val="left"/>
      </w:pPr>
      <w:r>
        <w:rPr>
          <w:b/>
          <w:bCs/>
        </w:rPr>
        <w:t xml:space="preserve">The Diamond Model</w:t>
      </w:r>
      <w:r>
        <w:t xml:space="preserve"> structures the </w:t>
      </w:r>
      <w:r>
        <w:rPr>
          <w:b/>
          <w:bCs/>
        </w:rPr>
        <w:t xml:space="preserve">intra-provincial</w:t>
      </w:r>
      <w:r>
        <w:t xml:space="preserve"> cluster analysis (Provincial Cluster Analysis) and the identification of competitive strengths and weaknesses (SWOT Analysis). Each of the six diamond dimensions is systematically assessed against the evidence base assembled in Chapters 2–4.</w:t>
      </w:r>
    </w:p>
    <w:p>
      <w:pPr>
        <w:pStyle w:val="ListParagraph"/>
        <w:numPr>
          <w:ilvl w:val="0"/>
          <w:numId w:val="2"/>
        </w:numPr>
        <w:spacing w:after="100"/>
        <w:ind w:start="240"/>
        <w:jc w:val="left"/>
      </w:pPr>
      <w:r>
        <w:rPr>
          <w:b/>
          <w:bCs/>
        </w:rPr>
        <w:t xml:space="preserve">Comparative Advantage Theory</w:t>
      </w:r>
      <w:r>
        <w:t xml:space="preserve"> anchors the </w:t>
      </w:r>
      <w:r>
        <w:rPr>
          <w:b/>
          <w:bCs/>
        </w:rPr>
        <w:t xml:space="preserve">cross-regional</w:t>
      </w:r>
      <w:r>
        <w:t xml:space="preserve"> benchmarking — domestic comparisons with Shanghai and Jiangsu and international comparisons with Silicon Valley, Hsinchu, and South Korea — to identify where Guangdong possesses a genuine relative advantage worth reinforcing, and where it faces structural disadvantages unlikely to be overcome through policy intervention alone.</w:t>
      </w:r>
    </w:p>
    <w:p>
      <w:pPr>
        <w:pStyle w:val="ListParagraph"/>
        <w:numPr>
          <w:ilvl w:val="0"/>
          <w:numId w:val="2"/>
        </w:numPr>
        <w:spacing w:after="100"/>
        <w:ind w:start="240"/>
        <w:jc w:val="left"/>
      </w:pPr>
      <w:r>
        <w:t xml:space="preserve">The two frameworks converge on a </w:t>
      </w:r>
      <w:r>
        <w:rPr>
          <w:b/>
          <w:bCs/>
        </w:rPr>
        <w:t xml:space="preserve">SWOT synthesis</w:t>
      </w:r>
      <w:r>
        <w:t xml:space="preserve"> that integrates internal diamond-factor assessments with external comparative-advantage benchmarks to produce an overall positioning map of Guangdong's IC cluster competitiveness.</w:t>
      </w:r>
    </w:p>
    <w:p>
      <w:pPr>
        <w:spacing w:after="200"/>
      </w:pPr>
      <w:r>
        <w:t xml:space="preserve"> </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2026-05-31T07:28:05.126Z</dcterms:created>
  <dcterms:modified xsi:type="dcterms:W3CDTF">2026-05-31T07:28:05.126Z</dcterms:modified>
</cp:coreProperties>
</file>

<file path=docProps/custom.xml><?xml version="1.0" encoding="utf-8"?>
<Properties xmlns="http://schemas.openxmlformats.org/officeDocument/2006/custom-properties" xmlns:vt="http://schemas.openxmlformats.org/officeDocument/2006/docPropsVTypes"/>
</file>