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2025 China Semiconductor Industry Structure Analysis</w:t>
      </w:r>
    </w:p>
    <w:p/>
    <w:p>
      <w:r>
        <w:rPr>
          <w:b/>
        </w:rPr>
        <w:t>Overview</w:t>
      </w:r>
      <w:r>
        <w:br/>
        <w:t>The semiconductor industry in China in 2025 shows a dual structure characterized by strong private-sector participation in chip design and state-led dominance in manufacturing infrastructure. Meanwhile, foreign and Taiwan-funded enterprises continue to occupy important positions in high-end equipment, advanced foundry services, and semiconductor supply chains.</w:t>
      </w:r>
    </w:p>
    <w:p>
      <w:r>
        <w:drawing>
          <wp:inline xmlns:a="http://schemas.openxmlformats.org/drawingml/2006/main" xmlns:pic="http://schemas.openxmlformats.org/drawingml/2006/picture">
            <wp:extent cx="5943600" cy="2668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conductor_Industry_Charts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Enterprise Type Distribution and Core Segment Distribution</w:t>
      </w:r>
    </w:p>
    <w:p>
      <w:pPr>
        <w:pStyle w:val="Heading1"/>
      </w:pPr>
      <w:r>
        <w:t>1. Enterprise Type Distribution</w:t>
      </w:r>
    </w:p>
    <w:p>
      <w:r>
        <w:t>Private enterprises account for approximately 60% of semiconductor-related companies in China, mainly concentrated in fabless chip design, AI chips, automotive semiconductors, and IC applications. State-owned enterprises represent around 22%, primarily controlling heavy-asset sectors such as wafer fabrication, memory manufacturing, and industrial infrastructure. Foreign enterprises maintain technological leadership in EDA software, semiconductor equipment, and advanced materials, while Taiwan-funded companies remain influential in foundry and packaging/testing services.</w:t>
      </w:r>
    </w:p>
    <w:p>
      <w:pPr>
        <w:pStyle w:val="Heading1"/>
      </w:pPr>
      <w:r>
        <w:t>2. Core Segment Distribution</w:t>
      </w:r>
    </w:p>
    <w:p>
      <w:r>
        <w:t>R&amp;D and chip design contribute the largest share of the industry structure (44.6%), reflecting the rapid expansion of China’s fabless ecosystem. Manufacturing accounts for approximately 31.6%, driven by national policies supporting domestic wafer fabs and advanced process capability. Packaging and testing represent about 23.8%, an area where Chinese firms have already developed strong international competitiveness.</w:t>
      </w:r>
    </w:p>
    <w:p>
      <w:pPr>
        <w:pStyle w:val="Heading1"/>
      </w:pPr>
      <w:r>
        <w:t>3. Industry Characteristics</w:t>
      </w:r>
    </w:p>
    <w:p>
      <w:pPr>
        <w:pStyle w:val="ListBullet"/>
      </w:pPr>
      <w:r>
        <w:t>“Design-driven, manufacturing-catching-up, packaging-leading” has become the dominant industry pattern.</w:t>
      </w:r>
    </w:p>
    <w:p>
      <w:pPr>
        <w:pStyle w:val="ListBullet"/>
      </w:pPr>
      <w:r>
        <w:t>Private firms dominate innovation in AI chips, RISC-V, and automotive semiconductors.</w:t>
      </w:r>
    </w:p>
    <w:p>
      <w:pPr>
        <w:pStyle w:val="ListBullet"/>
      </w:pPr>
      <w:r>
        <w:t>State-backed capital remains critical in wafer fabrication due to high investment requirements.</w:t>
      </w:r>
    </w:p>
    <w:p>
      <w:pPr>
        <w:pStyle w:val="ListBullet"/>
      </w:pPr>
      <w:r>
        <w:t>Foreign firms still hold advantages in advanced semiconductor equipment and EDA software.</w:t>
      </w:r>
    </w:p>
    <w:p>
      <w:pPr>
        <w:pStyle w:val="Heading1"/>
      </w:pPr>
      <w:r>
        <w:t>Data Sources</w:t>
      </w:r>
    </w:p>
    <w:p>
      <w:pPr>
        <w:pStyle w:val="ListNumber"/>
      </w:pPr>
      <w:r>
        <w:t>China Semiconductor Industry Association (CSIA), 2025 industry statistics.</w:t>
      </w:r>
    </w:p>
    <w:p>
      <w:pPr>
        <w:pStyle w:val="ListNumber"/>
      </w:pPr>
      <w:r>
        <w:t>Qianzhan Industry Research Institute semiconductor market reports.</w:t>
      </w:r>
    </w:p>
    <w:p>
      <w:pPr>
        <w:pStyle w:val="ListNumber"/>
      </w:pPr>
      <w:r>
        <w:t>SemiAnalysis and IC Insights industry trend reports.</w:t>
      </w:r>
    </w:p>
    <w:p>
      <w:pPr>
        <w:pStyle w:val="ListNumber"/>
      </w:pPr>
      <w:r>
        <w:t>Public disclosures from SMIC, Hua Hong Semiconductor, and Yangtze Memory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