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BB5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</w:t>
      </w:r>
      <w:r>
        <w:rPr>
          <w:rFonts w:hint="eastAsia"/>
          <w:b/>
          <w:bCs/>
          <w:sz w:val="28"/>
          <w:szCs w:val="28"/>
        </w:rPr>
        <w:t>. Market Concentration Analysis (CR5/CR10)</w:t>
      </w:r>
    </w:p>
    <w:p w14:paraId="022C2B80">
      <w:pPr>
        <w:rPr>
          <w:rFonts w:hint="eastAsia"/>
          <w:b/>
          <w:bCs/>
        </w:rPr>
      </w:pPr>
    </w:p>
    <w:p w14:paraId="04237A96">
      <w:pPr>
        <w:numPr>
          <w:ilvl w:val="1"/>
          <w:numId w:val="1"/>
        </w:numP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Core Concentration Indicators</w:t>
      </w:r>
    </w:p>
    <w:p w14:paraId="70E08561">
      <w:pPr>
        <w:numPr>
          <w:numId w:val="0"/>
        </w:numPr>
        <w:ind w:leftChars="0"/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8CBF45">
      <w:pPr>
        <w:rPr>
          <w:rFonts w:hint="eastAsia"/>
        </w:rPr>
      </w:pPr>
      <w:r>
        <w:rPr>
          <w:rFonts w:hint="eastAsia"/>
        </w:rPr>
        <w:t>• CR5 (Market share of top 5 enterprises): 52.56%</w:t>
      </w:r>
    </w:p>
    <w:p w14:paraId="6E9D6AA0">
      <w:pPr>
        <w:rPr>
          <w:rFonts w:hint="eastAsia"/>
        </w:rPr>
      </w:pPr>
      <w:r>
        <w:rPr>
          <w:rFonts w:hint="eastAsia"/>
        </w:rPr>
        <w:t>The total registered capital of the top 5 enterprises reaches 5,915.55 billion yuan, accounting for more than half of the industry’s total capital.</w:t>
      </w:r>
    </w:p>
    <w:p w14:paraId="46CD3BA0">
      <w:pPr>
        <w:rPr>
          <w:rFonts w:hint="eastAsia"/>
        </w:rPr>
      </w:pPr>
    </w:p>
    <w:p w14:paraId="74C81130">
      <w:pPr>
        <w:rPr>
          <w:rFonts w:hint="eastAsia"/>
        </w:rPr>
      </w:pPr>
      <w:r>
        <w:rPr>
          <w:rFonts w:hint="eastAsia"/>
        </w:rPr>
        <w:t>• CR10 (Market share of top 10 enterprises): 67.15%</w:t>
      </w:r>
    </w:p>
    <w:p w14:paraId="105D2F3A">
      <w:pPr>
        <w:rPr>
          <w:rFonts w:hint="eastAsia"/>
        </w:rPr>
      </w:pPr>
      <w:r>
        <w:rPr>
          <w:rFonts w:hint="eastAsia"/>
        </w:rPr>
        <w:t>The total registered capital of the top 10 enterprises stands at 7,556.72 billion yuan, controlling over two-thirds of the industry’s capital.</w:t>
      </w:r>
    </w:p>
    <w:p w14:paraId="7CA4C746">
      <w:pPr>
        <w:rPr>
          <w:rFonts w:hint="eastAsia"/>
        </w:rPr>
      </w:pPr>
    </w:p>
    <w:p w14:paraId="1EC85621">
      <w:pPr>
        <w:rPr>
          <w:rFonts w:hint="eastAsia"/>
        </w:rPr>
      </w:pPr>
      <w:r>
        <w:rPr>
          <w:rFonts w:hint="eastAsia"/>
        </w:rPr>
        <w:t>• CR30 (Market share of top 30 enterprises): 88.70%</w:t>
      </w:r>
    </w:p>
    <w:p w14:paraId="05E96027">
      <w:pPr>
        <w:rPr>
          <w:rFonts w:hint="eastAsia"/>
        </w:rPr>
      </w:pPr>
      <w:r>
        <w:rPr>
          <w:rFonts w:hint="eastAsia"/>
        </w:rPr>
        <w:t>The top 30 enterprises have nearly monopolized the capital resources of the industry.</w:t>
      </w:r>
    </w:p>
    <w:p w14:paraId="571B1790">
      <w:pPr>
        <w:rPr>
          <w:rFonts w:hint="eastAsia"/>
        </w:rPr>
      </w:pPr>
    </w:p>
    <w:p w14:paraId="193A06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 Market Structure Judgment</w:t>
      </w:r>
    </w:p>
    <w:p w14:paraId="453BDF7A">
      <w:pPr>
        <w:rPr>
          <w:rFonts w:hint="eastAsia"/>
          <w:b/>
          <w:bCs/>
          <w:sz w:val="24"/>
          <w:szCs w:val="24"/>
        </w:rPr>
      </w:pPr>
    </w:p>
    <w:p w14:paraId="04531601">
      <w:pPr>
        <w:rPr>
          <w:rFonts w:hint="eastAsia"/>
        </w:rPr>
      </w:pPr>
      <w:r>
        <w:rPr>
          <w:rFonts w:hint="eastAsia"/>
        </w:rPr>
        <w:t>Based on the CR10 indicator of 67.15%, the integrated circuit industry in Guangdong Province presents a high oligopolistic market structure:</w:t>
      </w:r>
    </w:p>
    <w:p w14:paraId="53700DEB">
      <w:pPr>
        <w:rPr>
          <w:rFonts w:hint="eastAsia"/>
        </w:rPr>
      </w:pPr>
      <w:r>
        <w:rPr>
          <w:rFonts w:hint="eastAsia"/>
        </w:rPr>
        <w:t>• Market dominance is highly concentrated in a small number of large enterprises;</w:t>
      </w:r>
    </w:p>
    <w:p w14:paraId="4B886488">
      <w:pPr>
        <w:rPr>
          <w:rFonts w:hint="eastAsia"/>
        </w:rPr>
      </w:pPr>
    </w:p>
    <w:p w14:paraId="763A5B91">
      <w:pPr>
        <w:rPr>
          <w:rFonts w:hint="eastAsia"/>
        </w:rPr>
      </w:pPr>
      <w:r>
        <w:rPr>
          <w:rFonts w:hint="eastAsia"/>
        </w:rPr>
        <w:t>• Leading enterprises possess absolute competitive advantages in capital scale;</w:t>
      </w:r>
    </w:p>
    <w:p w14:paraId="30461DD2">
      <w:pPr>
        <w:rPr>
          <w:rFonts w:hint="eastAsia"/>
        </w:rPr>
      </w:pPr>
    </w:p>
    <w:p w14:paraId="4CF0BDAB">
      <w:pPr>
        <w:rPr>
          <w:rFonts w:hint="eastAsia"/>
        </w:rPr>
      </w:pPr>
      <w:r>
        <w:rPr>
          <w:rFonts w:hint="eastAsia"/>
        </w:rPr>
        <w:t>• New entrants face extremely high capital barriers.</w:t>
      </w:r>
    </w:p>
    <w:p w14:paraId="34B200C0">
      <w:pPr>
        <w:rPr>
          <w:rFonts w:hint="eastAsia"/>
        </w:rPr>
      </w:pPr>
    </w:p>
    <w:p w14:paraId="45C2400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II. Regional Distribution Analysis</w:t>
      </w:r>
    </w:p>
    <w:p w14:paraId="47A4CEFA">
      <w:pPr>
        <w:rPr>
          <w:rFonts w:hint="eastAsia"/>
          <w:b/>
          <w:bCs/>
          <w:sz w:val="28"/>
          <w:szCs w:val="28"/>
        </w:rPr>
      </w:pPr>
    </w:p>
    <w:p w14:paraId="511B90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 Regional Distribution of Enterprise Quantity (Top 3)</w:t>
      </w:r>
    </w:p>
    <w:p w14:paraId="758A22D5">
      <w:pPr>
        <w:rPr>
          <w:rFonts w:hint="eastAsia"/>
        </w:rPr>
      </w:pPr>
    </w:p>
    <w:p w14:paraId="0D4C1180">
      <w:pPr>
        <w:rPr>
          <w:rFonts w:hint="eastAsia"/>
        </w:rPr>
      </w:pPr>
      <w:r>
        <w:rPr>
          <w:rFonts w:hint="eastAsia"/>
        </w:rPr>
        <w:t>• Shenzhen: 5,849 enterprises (58.69%) – Absolute core city</w:t>
      </w:r>
    </w:p>
    <w:p w14:paraId="0455B6B7">
      <w:pPr>
        <w:rPr>
          <w:rFonts w:hint="eastAsia"/>
        </w:rPr>
      </w:pPr>
    </w:p>
    <w:p w14:paraId="761A5C53">
      <w:pPr>
        <w:rPr>
          <w:rFonts w:hint="eastAsia"/>
        </w:rPr>
      </w:pPr>
      <w:r>
        <w:rPr>
          <w:rFonts w:hint="eastAsia"/>
        </w:rPr>
        <w:t>• Guangzhou: 1,633 enterprises (16.39%) – Second largest agglomeration</w:t>
      </w:r>
    </w:p>
    <w:p w14:paraId="31574FD4">
      <w:pPr>
        <w:rPr>
          <w:rFonts w:hint="eastAsia"/>
        </w:rPr>
      </w:pPr>
    </w:p>
    <w:p w14:paraId="00A41BFD">
      <w:pPr>
        <w:rPr>
          <w:rFonts w:hint="eastAsia"/>
        </w:rPr>
      </w:pPr>
      <w:r>
        <w:rPr>
          <w:rFonts w:hint="eastAsia"/>
        </w:rPr>
        <w:t>• Dongguan: 966 enterprises (9.69%) – Key supporting base</w:t>
      </w:r>
    </w:p>
    <w:p w14:paraId="09A5846B">
      <w:pPr>
        <w:rPr>
          <w:rFonts w:hint="eastAsia"/>
        </w:rPr>
      </w:pPr>
    </w:p>
    <w:p w14:paraId="2DD413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2.2 Regional Distribution of Registered Capital (Top 3)</w:t>
      </w:r>
    </w:p>
    <w:p w14:paraId="5E996C19">
      <w:pPr>
        <w:rPr>
          <w:rFonts w:hint="eastAsia"/>
          <w:b/>
          <w:bCs/>
          <w:sz w:val="24"/>
          <w:szCs w:val="24"/>
        </w:rPr>
      </w:pPr>
    </w:p>
    <w:p w14:paraId="5A3A1A68">
      <w:pPr>
        <w:rPr>
          <w:rFonts w:hint="eastAsia"/>
        </w:rPr>
      </w:pPr>
      <w:r>
        <w:rPr>
          <w:rFonts w:hint="eastAsia"/>
        </w:rPr>
        <w:t>• Shenzhen: 7,866.72 billion yuan (69.90%) – Core capital agglomeration hub</w:t>
      </w:r>
    </w:p>
    <w:p w14:paraId="2BA9AA1F">
      <w:pPr>
        <w:rPr>
          <w:rFonts w:hint="eastAsia"/>
        </w:rPr>
      </w:pPr>
    </w:p>
    <w:p w14:paraId="3241EC13">
      <w:pPr>
        <w:rPr>
          <w:rFonts w:hint="eastAsia"/>
        </w:rPr>
      </w:pPr>
      <w:r>
        <w:rPr>
          <w:rFonts w:hint="eastAsia"/>
        </w:rPr>
        <w:t>• Zhuhai: 2,139.56 billion yuan (19.01%) – Second largest capital scale</w:t>
      </w:r>
    </w:p>
    <w:p w14:paraId="448B808E">
      <w:pPr>
        <w:rPr>
          <w:rFonts w:hint="eastAsia"/>
        </w:rPr>
      </w:pPr>
    </w:p>
    <w:p w14:paraId="164B1DC0">
      <w:pPr>
        <w:rPr>
          <w:rFonts w:hint="eastAsia"/>
        </w:rPr>
      </w:pPr>
      <w:r>
        <w:rPr>
          <w:rFonts w:hint="eastAsia"/>
        </w:rPr>
        <w:t>• Jiangmen: 580.02 billion yuan (5.15%) – Important capital node</w:t>
      </w:r>
    </w:p>
    <w:p w14:paraId="18757155">
      <w:pPr>
        <w:rPr>
          <w:rFonts w:hint="eastAsia"/>
          <w:b/>
          <w:bCs/>
          <w:sz w:val="24"/>
          <w:szCs w:val="24"/>
        </w:rPr>
      </w:pPr>
    </w:p>
    <w:p w14:paraId="7B346B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2.3 Concentration of Core Pearl River Delta Cities</w:t>
      </w:r>
    </w:p>
    <w:p w14:paraId="10007886">
      <w:pPr>
        <w:rPr>
          <w:rFonts w:hint="eastAsia"/>
        </w:rPr>
      </w:pPr>
    </w:p>
    <w:p w14:paraId="078B4A8A">
      <w:pPr>
        <w:rPr>
          <w:rFonts w:hint="eastAsia"/>
        </w:rPr>
      </w:pPr>
      <w:r>
        <w:rPr>
          <w:rFonts w:hint="eastAsia"/>
        </w:rPr>
        <w:t>• Enterprise quantity concentration: 95.64% (enterprises in 9 Pearl River Delta cities account for the total of Guangdong Province)</w:t>
      </w:r>
    </w:p>
    <w:p w14:paraId="4AF51009">
      <w:pPr>
        <w:rPr>
          <w:rFonts w:hint="eastAsia"/>
        </w:rPr>
      </w:pPr>
    </w:p>
    <w:p w14:paraId="24AFC69D">
      <w:pPr>
        <w:rPr>
          <w:rFonts w:hint="eastAsia"/>
        </w:rPr>
      </w:pPr>
      <w:r>
        <w:rPr>
          <w:rFonts w:hint="eastAsia"/>
        </w:rPr>
        <w:t>• Registered capital concentration: 99.80% (capital of 9 Pearl River Delta cities accounts for the total of Guangdong Province)</w:t>
      </w:r>
    </w:p>
    <w:p w14:paraId="557E5E70">
      <w:pPr>
        <w:rPr>
          <w:rFonts w:hint="eastAsia"/>
        </w:rPr>
      </w:pPr>
    </w:p>
    <w:p w14:paraId="612D28C7">
      <w:pPr>
        <w:rPr>
          <w:rFonts w:hint="eastAsia"/>
        </w:rPr>
      </w:pPr>
      <w:r>
        <w:rPr>
          <w:rFonts w:hint="eastAsia"/>
        </w:rPr>
        <w:t>Conclusion: The integrated circuit industry of Guangdong Province is highly concentrated in the Pearl River Delta region, showing obvious regional agglomeration characteristics.</w:t>
      </w:r>
    </w:p>
    <w:p w14:paraId="513B0825">
      <w:pPr>
        <w:rPr>
          <w:rFonts w:hint="eastAsia"/>
        </w:rPr>
      </w:pPr>
    </w:p>
    <w:p w14:paraId="3CC24F6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III. Enterprise Type Structure Analysis</w:t>
      </w:r>
      <w:bookmarkStart w:id="0" w:name="_GoBack"/>
      <w:bookmarkEnd w:id="0"/>
    </w:p>
    <w:p w14:paraId="63C08A19">
      <w:pPr>
        <w:rPr>
          <w:rFonts w:hint="eastAsia"/>
        </w:rPr>
      </w:pPr>
    </w:p>
    <w:p w14:paraId="39EE12BC">
      <w:pPr>
        <w:rPr>
          <w:rFonts w:hint="eastAsia"/>
        </w:rPr>
      </w:pPr>
      <w:r>
        <w:rPr>
          <w:rFonts w:hint="eastAsia"/>
        </w:rPr>
        <w:t>• Small and medium-sized enterprises: 9,060 enterprises (90.30%) – Dominant in quantity but small in capital scale</w:t>
      </w:r>
    </w:p>
    <w:p w14:paraId="2392E9E3">
      <w:pPr>
        <w:rPr>
          <w:rFonts w:hint="eastAsia"/>
        </w:rPr>
      </w:pPr>
    </w:p>
    <w:p w14:paraId="6EC0C3E9">
      <w:pPr>
        <w:rPr>
          <w:rFonts w:hint="eastAsia"/>
        </w:rPr>
      </w:pPr>
      <w:r>
        <w:rPr>
          <w:rFonts w:hint="eastAsia"/>
        </w:rPr>
        <w:t>• Industrial above-scale enterprises: 588 enterprises (5.86%) – Medium-sized enterprises serving as industrial support</w:t>
      </w:r>
    </w:p>
    <w:p w14:paraId="00D53300">
      <w:pPr>
        <w:rPr>
          <w:rFonts w:hint="eastAsia"/>
        </w:rPr>
      </w:pPr>
    </w:p>
    <w:p w14:paraId="019F680E">
      <w:pPr>
        <w:rPr>
          <w:rFonts w:hint="eastAsia"/>
        </w:rPr>
      </w:pPr>
      <w:r>
        <w:rPr>
          <w:rFonts w:hint="eastAsia"/>
        </w:rPr>
        <w:t>• Leading enterprises: 385 enterprises (3.84%) – The smallest in quantity but control the major capital resources</w:t>
      </w:r>
    </w:p>
    <w:p w14:paraId="5B05FF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书宋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F082F"/>
    <w:multiLevelType w:val="multilevel"/>
    <w:tmpl w:val="3EFF082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EAAA"/>
    <w:rsid w:val="795AC15F"/>
    <w:rsid w:val="7EFFE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Office_12.1.25275.25275_F1E327BC-269C-435d-A152-05C5408002CA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2026-05-12T13:40:00Z</dcterms:created>
  <dc:creator>iPad</dc:creator>
  <cp:lastModifiedBy>u</cp:lastModifiedBy>
  <dcterms:modified xsi:type="dcterms:W3CDTF">2026-05-12T13:50:01Z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2052-12.1.25275.25275</vt:lpwstr>
  </property>
  <property fmtid="{D5CDD505-2E9C-101B-9397-08002B2CF9AE}" pid="3" name="ICV">
    <vt:lpwstr>5B2DA94F377C095489BF026A4E5C3A83_43</vt:lpwstr>
  </property>
</Properties>
</file>