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rFonts w:hint="default" w:hAnsi="Times New Roman" w:cs="Times New Roman" w:asciiTheme="minorAscii"/>
          <w:b w:val="0"/>
          <w:bCs/>
          <w:color w:val="1F2329"/>
          <w:sz w:val="24"/>
          <w:szCs w:val="24"/>
        </w:rPr>
      </w:pPr>
      <w:r>
        <w:rPr>
          <w:rFonts w:hint="default" w:hAnsi="Times New Roman" w:cs="Times New Roman" w:asciiTheme="minorAscii"/>
          <w:b w:val="0"/>
          <w:bCs/>
          <w:color w:val="1F2329"/>
          <w:sz w:val="24"/>
          <w:szCs w:val="24"/>
          <w:bdr w:val="none" w:color="auto" w:sz="0" w:space="0"/>
        </w:rPr>
        <w:t>1. Coverage of Existing Talent Policies for Professionals Across Industries</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80" w:firstLineChars="200"/>
        <w:jc w:val="left"/>
        <w:rPr>
          <w:rFonts w:hint="default" w:hAnsi="Times New Roman" w:eastAsia="宋体" w:cs="Times New Roman" w:asciiTheme="minorAscii"/>
          <w:b w:val="0"/>
          <w:bCs/>
          <w:color w:val="1F2329"/>
          <w:kern w:val="0"/>
          <w:sz w:val="24"/>
          <w:szCs w:val="24"/>
          <w:bdr w:val="none" w:color="auto" w:sz="0" w:space="0"/>
          <w:lang w:val="en-US" w:eastAsia="zh-CN" w:bidi="ar"/>
        </w:rPr>
      </w:pPr>
      <w:r>
        <w:rPr>
          <w:rFonts w:hint="default" w:hAnsi="Times New Roman" w:eastAsia="宋体" w:cs="Times New Roman" w:asciiTheme="minorAscii"/>
          <w:b w:val="0"/>
          <w:bCs/>
          <w:color w:val="1F2329"/>
          <w:kern w:val="0"/>
          <w:sz w:val="24"/>
          <w:szCs w:val="24"/>
          <w:bdr w:val="none" w:color="auto" w:sz="0" w:space="0"/>
          <w:lang w:val="en-US" w:eastAsia="zh-CN" w:bidi="ar"/>
        </w:rPr>
        <w:t xml:space="preserve">Governments at the provincial, municipal and district levels of Guangdong have rolled out a multi-faceted policy package for integrated circuit (IC) talents. </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80" w:firstLineChars="200"/>
        <w:jc w:val="left"/>
        <w:rPr>
          <w:rFonts w:hint="default" w:hAnsi="Times New Roman" w:eastAsia="宋体" w:cs="Times New Roman" w:asciiTheme="minorAscii"/>
          <w:b w:val="0"/>
          <w:bCs/>
          <w:color w:val="1F2329"/>
          <w:kern w:val="0"/>
          <w:sz w:val="24"/>
          <w:szCs w:val="24"/>
          <w:bdr w:val="none" w:color="auto" w:sz="0" w:space="0"/>
          <w:lang w:val="en-US" w:eastAsia="zh-CN" w:bidi="ar"/>
        </w:rPr>
      </w:pPr>
      <w:r>
        <w:rPr>
          <w:rFonts w:hint="default" w:hAnsi="Times New Roman" w:eastAsia="宋体" w:cs="Times New Roman" w:asciiTheme="minorAscii"/>
          <w:b w:val="0"/>
          <w:bCs/>
          <w:color w:val="1F2329"/>
          <w:kern w:val="0"/>
          <w:sz w:val="24"/>
          <w:szCs w:val="24"/>
          <w:bdr w:val="none" w:color="auto" w:sz="0" w:space="0"/>
          <w:lang w:val="en-US" w:eastAsia="zh-CN" w:bidi="ar"/>
        </w:rPr>
        <w:t xml:space="preserve">Nevertheless, across the </w:t>
      </w:r>
      <w:r>
        <w:rPr>
          <w:rStyle w:val="10"/>
          <w:rFonts w:hint="default" w:hAnsi="Times New Roman" w:eastAsia="宋体" w:cs="Times New Roman" w:asciiTheme="minorAscii"/>
          <w:b w:val="0"/>
          <w:bCs/>
          <w:color w:val="1F2329"/>
          <w:kern w:val="0"/>
          <w:sz w:val="24"/>
          <w:szCs w:val="24"/>
          <w:bdr w:val="none" w:color="auto" w:sz="0" w:space="0"/>
          <w:lang w:val="en-US" w:eastAsia="zh-CN" w:bidi="ar"/>
        </w:rPr>
        <w:t>entire industrial chain</w:t>
      </w:r>
      <w:r>
        <w:rPr>
          <w:rFonts w:hint="default" w:hAnsi="Times New Roman" w:eastAsia="宋体" w:cs="Times New Roman" w:asciiTheme="minorAscii"/>
          <w:b w:val="0"/>
          <w:bCs/>
          <w:color w:val="1F2329"/>
          <w:kern w:val="0"/>
          <w:sz w:val="24"/>
          <w:szCs w:val="24"/>
          <w:bdr w:val="none" w:color="auto" w:sz="0" w:space="0"/>
          <w:lang w:val="en-US" w:eastAsia="zh-CN" w:bidi="ar"/>
        </w:rPr>
        <w:t xml:space="preserve"> (design, manufacturing, packaging &amp; testing, equipment and materials), the existing policies show a notable </w:t>
      </w:r>
      <w:r>
        <w:rPr>
          <w:rStyle w:val="10"/>
          <w:rFonts w:hint="default" w:hAnsi="Times New Roman" w:eastAsia="宋体" w:cs="Times New Roman" w:asciiTheme="minorAscii"/>
          <w:b w:val="0"/>
          <w:bCs/>
          <w:color w:val="1F2329"/>
          <w:kern w:val="0"/>
          <w:sz w:val="24"/>
          <w:szCs w:val="24"/>
          <w:bdr w:val="none" w:color="auto" w:sz="0" w:space="0"/>
          <w:lang w:val="en-US" w:eastAsia="zh-CN" w:bidi="ar"/>
        </w:rPr>
        <w:t>structural imbalance</w:t>
      </w:r>
      <w:r>
        <w:rPr>
          <w:rFonts w:hint="default" w:hAnsi="Times New Roman" w:eastAsia="宋体" w:cs="Times New Roman" w:asciiTheme="minorAscii"/>
          <w:b w:val="0"/>
          <w:bCs/>
          <w:color w:val="1F2329"/>
          <w:kern w:val="0"/>
          <w:sz w:val="24"/>
          <w:szCs w:val="24"/>
          <w:bdr w:val="none" w:color="auto" w:sz="0" w:space="0"/>
          <w:lang w:val="en-US" w:eastAsia="zh-CN" w:bidi="ar"/>
        </w:rPr>
        <w:t xml:space="preserve"> in coverage.</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rFonts w:hint="default" w:hAnsi="Times New Roman" w:eastAsia="宋体" w:cs="Times New Roman" w:asciiTheme="minorAscii"/>
          <w:b w:val="0"/>
          <w:bCs/>
          <w:color w:val="1F2329"/>
          <w:kern w:val="0"/>
          <w:sz w:val="24"/>
          <w:szCs w:val="24"/>
          <w:bdr w:val="none" w:color="auto" w:sz="0" w:space="0"/>
          <w:lang w:val="en-US" w:eastAsia="zh-CN" w:bidi="ar"/>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rFonts w:hint="default" w:hAnsi="Times New Roman" w:cs="Times New Roman" w:asciiTheme="minorAscii"/>
          <w:b w:val="0"/>
          <w:bCs/>
          <w:color w:val="1F2329"/>
          <w:sz w:val="24"/>
          <w:szCs w:val="24"/>
        </w:rPr>
      </w:pPr>
      <w:r>
        <w:rPr>
          <w:rFonts w:hint="default" w:hAnsi="Times New Roman" w:cs="Times New Roman" w:asciiTheme="minorAscii"/>
          <w:b w:val="0"/>
          <w:bCs/>
          <w:color w:val="1F2329"/>
          <w:sz w:val="24"/>
          <w:szCs w:val="24"/>
          <w:bdr w:val="none" w:color="auto" w:sz="0" w:space="0"/>
        </w:rPr>
        <w:t>1.1 Main Tiers and Core Measures of the Policy System</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right="0"/>
        <w:jc w:val="left"/>
        <w:rPr>
          <w:rStyle w:val="10"/>
          <w:rFonts w:hint="default" w:hAnsi="Times New Roman" w:eastAsia="宋体" w:cs="Times New Roman" w:asciiTheme="minorAscii"/>
          <w:b/>
          <w:bCs w:val="0"/>
          <w:color w:val="1F2329"/>
          <w:kern w:val="0"/>
          <w:sz w:val="24"/>
          <w:szCs w:val="24"/>
          <w:bdr w:val="none" w:color="auto" w:sz="0" w:space="0"/>
          <w:lang w:val="en-US" w:eastAsia="zh-CN" w:bidi="ar"/>
        </w:rPr>
      </w:pPr>
      <w:r>
        <w:rPr>
          <w:rStyle w:val="10"/>
          <w:rFonts w:hint="default" w:hAnsi="Times New Roman" w:eastAsia="宋体" w:cs="Times New Roman" w:asciiTheme="minorAscii"/>
          <w:b/>
          <w:bCs w:val="0"/>
          <w:color w:val="1F2329"/>
          <w:kern w:val="0"/>
          <w:sz w:val="24"/>
          <w:szCs w:val="24"/>
          <w:bdr w:val="none" w:color="auto" w:sz="0" w:space="0"/>
          <w:lang w:val="en-US" w:eastAsia="zh-CN" w:bidi="ar"/>
        </w:rPr>
        <w:t>Provincial level: Strategic talent recruitment &amp; cultivation and macro policy incentives</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right="0" w:firstLine="480" w:firstLineChars="200"/>
        <w:jc w:val="left"/>
        <w:rPr>
          <w:rFonts w:hint="default" w:hAnsi="Times New Roman" w:eastAsia="宋体" w:cs="Times New Roman" w:asciiTheme="minorAscii"/>
          <w:b w:val="0"/>
          <w:bCs/>
          <w:color w:val="1F2329"/>
          <w:kern w:val="0"/>
          <w:sz w:val="24"/>
          <w:szCs w:val="24"/>
          <w:bdr w:val="none" w:color="auto" w:sz="0" w:space="0"/>
          <w:lang w:val="en-US" w:eastAsia="zh-CN" w:bidi="ar"/>
        </w:rPr>
      </w:pPr>
      <w:r>
        <w:rPr>
          <w:rFonts w:hint="default" w:hAnsi="Times New Roman" w:eastAsia="宋体" w:cs="Times New Roman" w:asciiTheme="minorAscii"/>
          <w:b w:val="0"/>
          <w:bCs/>
          <w:color w:val="1F2329"/>
          <w:kern w:val="0"/>
          <w:sz w:val="24"/>
          <w:szCs w:val="24"/>
          <w:bdr w:val="none" w:color="auto" w:sz="0" w:space="0"/>
          <w:lang w:val="en-US" w:eastAsia="zh-CN" w:bidi="ar"/>
        </w:rPr>
        <w:t xml:space="preserve">Guangdong expands the pool of local talents via multiple initiatives, including the </w:t>
      </w:r>
      <w:r>
        <w:rPr>
          <w:rStyle w:val="11"/>
          <w:rFonts w:hint="default" w:hAnsi="Times New Roman" w:eastAsia="宋体" w:cs="Times New Roman" w:asciiTheme="minorAscii"/>
          <w:b w:val="0"/>
          <w:bCs/>
          <w:color w:val="1F2329"/>
          <w:kern w:val="0"/>
          <w:sz w:val="24"/>
          <w:szCs w:val="24"/>
          <w:bdr w:val="none" w:color="auto" w:sz="0" w:space="0"/>
          <w:lang w:val="en-US" w:eastAsia="zh-CN" w:bidi="ar"/>
        </w:rPr>
        <w:t>Guangdong Premium Talent Card</w:t>
      </w:r>
      <w:r>
        <w:rPr>
          <w:rFonts w:hint="default" w:hAnsi="Times New Roman" w:eastAsia="宋体" w:cs="Times New Roman" w:asciiTheme="minorAscii"/>
          <w:b w:val="0"/>
          <w:bCs/>
          <w:color w:val="1F2329"/>
          <w:kern w:val="0"/>
          <w:sz w:val="24"/>
          <w:szCs w:val="24"/>
          <w:bdr w:val="none" w:color="auto" w:sz="0" w:space="0"/>
          <w:lang w:val="en-US" w:eastAsia="zh-CN" w:bidi="ar"/>
        </w:rPr>
        <w:t xml:space="preserve">, individual income tax incentives for the Guangdong-Hong Kong-Macao Greater Bay Area (a subsidy covering the income tax difference for overseas high-end and urgently-needed talents, capping the effective tax rate at 15%), the higher education improvement plan of </w:t>
      </w:r>
      <w:r>
        <w:rPr>
          <w:rStyle w:val="11"/>
          <w:rFonts w:hint="default" w:hAnsi="Times New Roman" w:eastAsia="宋体" w:cs="Times New Roman" w:asciiTheme="minorAscii"/>
          <w:b w:val="0"/>
          <w:bCs/>
          <w:color w:val="1F2329"/>
          <w:kern w:val="0"/>
          <w:sz w:val="24"/>
          <w:szCs w:val="24"/>
          <w:bdr w:val="none" w:color="auto" w:sz="0" w:space="0"/>
          <w:lang w:val="en-US" w:eastAsia="zh-CN" w:bidi="ar"/>
        </w:rPr>
        <w:t>Building Top-tier Universities, Addressing Weak Links and Highlighting Distinct Features</w:t>
      </w:r>
      <w:r>
        <w:rPr>
          <w:rFonts w:hint="default" w:hAnsi="Times New Roman" w:eastAsia="宋体" w:cs="Times New Roman" w:asciiTheme="minorAscii"/>
          <w:b w:val="0"/>
          <w:bCs/>
          <w:color w:val="1F2329"/>
          <w:kern w:val="0"/>
          <w:sz w:val="24"/>
          <w:szCs w:val="24"/>
          <w:bdr w:val="none" w:color="auto" w:sz="0" w:space="0"/>
          <w:lang w:val="en-US" w:eastAsia="zh-CN" w:bidi="ar"/>
        </w:rPr>
        <w:t xml:space="preserve">, and the </w:t>
      </w:r>
      <w:r>
        <w:rPr>
          <w:rStyle w:val="11"/>
          <w:rFonts w:hint="default" w:hAnsi="Times New Roman" w:eastAsia="宋体" w:cs="Times New Roman" w:asciiTheme="minorAscii"/>
          <w:b w:val="0"/>
          <w:bCs/>
          <w:color w:val="1F2329"/>
          <w:kern w:val="0"/>
          <w:sz w:val="24"/>
          <w:szCs w:val="24"/>
          <w:bdr w:val="none" w:color="auto" w:sz="0" w:space="0"/>
          <w:lang w:val="en-US" w:eastAsia="zh-CN" w:bidi="ar"/>
        </w:rPr>
        <w:t>Fundamental Discipline Talent Development Program</w:t>
      </w:r>
      <w:r>
        <w:rPr>
          <w:rFonts w:hint="default" w:hAnsi="Times New Roman" w:eastAsia="宋体" w:cs="Times New Roman" w:asciiTheme="minorAscii"/>
          <w:b w:val="0"/>
          <w:bCs/>
          <w:color w:val="1F2329"/>
          <w:kern w:val="0"/>
          <w:sz w:val="24"/>
          <w:szCs w:val="24"/>
          <w:bdr w:val="none" w:color="auto" w:sz="0" w:space="0"/>
          <w:lang w:val="en-US" w:eastAsia="zh-CN" w:bidi="ar"/>
        </w:rPr>
        <w:t xml:space="preserve">. Statistics show that the number of IC professionals trained in Guangdong </w:t>
      </w:r>
      <w:r>
        <w:rPr>
          <w:rStyle w:val="10"/>
          <w:rFonts w:hint="default" w:hAnsi="Times New Roman" w:eastAsia="宋体" w:cs="Times New Roman" w:asciiTheme="minorAscii"/>
          <w:b w:val="0"/>
          <w:bCs/>
          <w:color w:val="1F2329"/>
          <w:kern w:val="0"/>
          <w:sz w:val="24"/>
          <w:szCs w:val="24"/>
          <w:bdr w:val="none" w:color="auto" w:sz="0" w:space="0"/>
          <w:lang w:val="en-US" w:eastAsia="zh-CN" w:bidi="ar"/>
        </w:rPr>
        <w:t>quadrupled</w:t>
      </w:r>
      <w:r>
        <w:rPr>
          <w:rFonts w:hint="default" w:hAnsi="Times New Roman" w:eastAsia="宋体" w:cs="Times New Roman" w:asciiTheme="minorAscii"/>
          <w:b w:val="0"/>
          <w:bCs/>
          <w:color w:val="1F2329"/>
          <w:kern w:val="0"/>
          <w:sz w:val="24"/>
          <w:szCs w:val="24"/>
          <w:bdr w:val="none" w:color="auto" w:sz="0" w:space="0"/>
          <w:lang w:val="en-US" w:eastAsia="zh-CN" w:bidi="ar"/>
        </w:rPr>
        <w:t xml:space="preserve"> during the 14th Five-Year Plan period.</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right="0" w:firstLine="480" w:firstLineChars="200"/>
        <w:jc w:val="left"/>
        <w:rPr>
          <w:rFonts w:hint="default" w:hAnsi="Times New Roman" w:eastAsia="宋体" w:cs="Times New Roman" w:asciiTheme="minorAscii"/>
          <w:b w:val="0"/>
          <w:bCs/>
          <w:color w:val="1F2329"/>
          <w:kern w:val="0"/>
          <w:sz w:val="24"/>
          <w:szCs w:val="24"/>
          <w:bdr w:val="none" w:color="auto" w:sz="0" w:space="0"/>
          <w:lang w:val="en-US" w:eastAsia="zh-CN" w:bidi="ar"/>
        </w:rPr>
      </w:pP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rStyle w:val="10"/>
          <w:rFonts w:hint="default" w:hAnsi="Times New Roman" w:eastAsia="宋体" w:cs="Times New Roman" w:asciiTheme="minorAscii"/>
          <w:b/>
          <w:bCs w:val="0"/>
          <w:color w:val="1F2329"/>
          <w:kern w:val="0"/>
          <w:sz w:val="24"/>
          <w:szCs w:val="24"/>
          <w:bdr w:val="none" w:color="auto" w:sz="0" w:space="0"/>
          <w:lang w:val="en-US" w:eastAsia="zh-CN" w:bidi="ar"/>
        </w:rPr>
      </w:pPr>
      <w:r>
        <w:rPr>
          <w:rStyle w:val="10"/>
          <w:rFonts w:hint="default" w:hAnsi="Times New Roman" w:eastAsia="宋体" w:cs="Times New Roman" w:asciiTheme="minorAscii"/>
          <w:b/>
          <w:bCs w:val="0"/>
          <w:color w:val="1F2329"/>
          <w:kern w:val="0"/>
          <w:sz w:val="24"/>
          <w:szCs w:val="24"/>
          <w:bdr w:val="none" w:color="auto" w:sz="0" w:space="0"/>
          <w:lang w:val="en-US" w:eastAsia="zh-CN" w:bidi="ar"/>
        </w:rPr>
        <w:t>Municipal and district levels: Targeted substantial rewards and subsidies for R&amp;D teams</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80" w:firstLineChars="200"/>
        <w:jc w:val="left"/>
        <w:rPr>
          <w:rFonts w:hint="default" w:hAnsi="Times New Roman" w:cs="Times New Roman" w:asciiTheme="minorAscii"/>
          <w:b w:val="0"/>
          <w:bCs/>
          <w:color w:val="1F2329"/>
          <w:sz w:val="24"/>
          <w:szCs w:val="24"/>
        </w:rPr>
      </w:pPr>
      <w:r>
        <w:rPr>
          <w:rFonts w:hint="default" w:hAnsi="Times New Roman" w:eastAsia="宋体" w:cs="Times New Roman" w:asciiTheme="minorAscii"/>
          <w:b w:val="0"/>
          <w:bCs/>
          <w:color w:val="1F2329"/>
          <w:kern w:val="0"/>
          <w:sz w:val="24"/>
          <w:szCs w:val="24"/>
          <w:bdr w:val="none" w:color="auto" w:sz="0" w:space="0"/>
          <w:lang w:val="en-US" w:eastAsia="zh-CN" w:bidi="ar"/>
        </w:rPr>
        <w:t>Taking major industrial clusters including Shenzhen, Guangzhou, Dongguan and Hengqin (Zhuhai) as examples:</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420" w:leftChars="0" w:right="0" w:rightChars="0" w:hanging="420" w:firstLineChars="0"/>
        <w:jc w:val="left"/>
        <w:rPr>
          <w:rFonts w:hint="default" w:hAnsi="Times New Roman" w:cs="Times New Roman" w:asciiTheme="minorAscii"/>
          <w:b w:val="0"/>
          <w:bCs/>
          <w:color w:val="1F2329"/>
          <w:sz w:val="24"/>
          <w:szCs w:val="24"/>
        </w:rPr>
      </w:pPr>
      <w:r>
        <w:rPr>
          <w:rFonts w:hint="default" w:hAnsi="Times New Roman" w:cs="Times New Roman" w:asciiTheme="minorAscii"/>
          <w:b w:val="0"/>
          <w:bCs/>
          <w:color w:val="1F2329"/>
          <w:sz w:val="24"/>
          <w:szCs w:val="24"/>
          <w:bdr w:val="none" w:color="auto" w:sz="0" w:space="0"/>
        </w:rPr>
        <w:t>Futian, Nanshan and Luohu (Shenzhen): One-off bonuses ranging from 100,000 to 1 million yuan are granted to R&amp;D teams undertaking municipal-level and above IC projects, alongside supporting benefits such as affordable housing subsidies and startup space allowances.</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420" w:leftChars="0" w:right="0" w:rightChars="0" w:hanging="420" w:firstLineChars="0"/>
        <w:jc w:val="left"/>
        <w:rPr>
          <w:rFonts w:hint="default" w:hAnsi="Times New Roman" w:cs="Times New Roman" w:asciiTheme="minorAscii"/>
          <w:b w:val="0"/>
          <w:bCs/>
          <w:color w:val="1F2329"/>
          <w:sz w:val="24"/>
          <w:szCs w:val="24"/>
        </w:rPr>
      </w:pPr>
      <w:r>
        <w:rPr>
          <w:rFonts w:hint="default" w:hAnsi="Times New Roman" w:cs="Times New Roman" w:asciiTheme="minorAscii"/>
          <w:b w:val="0"/>
          <w:bCs/>
          <w:color w:val="1F2329"/>
          <w:sz w:val="24"/>
          <w:szCs w:val="24"/>
          <w:bdr w:val="none" w:color="auto" w:sz="0" w:space="0"/>
        </w:rPr>
        <w:t xml:space="preserve">Nansha (Guangzhou): A revised </w:t>
      </w:r>
      <w:r>
        <w:rPr>
          <w:rStyle w:val="11"/>
          <w:rFonts w:hint="default" w:hAnsi="Times New Roman" w:cs="Times New Roman" w:asciiTheme="minorAscii"/>
          <w:b w:val="0"/>
          <w:bCs/>
          <w:color w:val="1F2329"/>
          <w:sz w:val="24"/>
          <w:szCs w:val="24"/>
          <w:bdr w:val="none" w:color="auto" w:sz="0" w:space="0"/>
        </w:rPr>
        <w:t>Support Measures</w:t>
      </w:r>
      <w:r>
        <w:rPr>
          <w:rFonts w:hint="default" w:hAnsi="Times New Roman" w:cs="Times New Roman" w:asciiTheme="minorAscii"/>
          <w:b w:val="0"/>
          <w:bCs/>
          <w:color w:val="1F2329"/>
          <w:sz w:val="24"/>
          <w:szCs w:val="24"/>
          <w:bdr w:val="none" w:color="auto" w:sz="0" w:space="0"/>
        </w:rPr>
        <w:t xml:space="preserve"> was released in early 2026 to back enterprise innovation in key links including tape-out and procurement of EDA software and IP cores, and provide living and operational support for senior semiconductor talents.</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420" w:leftChars="0" w:right="0" w:rightChars="0" w:hanging="420" w:firstLineChars="0"/>
        <w:jc w:val="left"/>
        <w:rPr>
          <w:rFonts w:hint="default" w:hAnsi="Times New Roman" w:cs="Times New Roman" w:asciiTheme="minorAscii"/>
          <w:b w:val="0"/>
          <w:bCs/>
          <w:color w:val="1F2329"/>
          <w:sz w:val="24"/>
          <w:szCs w:val="24"/>
        </w:rPr>
      </w:pPr>
      <w:r>
        <w:rPr>
          <w:rFonts w:hint="default" w:hAnsi="Times New Roman" w:cs="Times New Roman" w:asciiTheme="minorAscii"/>
          <w:b w:val="0"/>
          <w:bCs/>
          <w:color w:val="1F2329"/>
          <w:sz w:val="24"/>
          <w:szCs w:val="24"/>
          <w:bdr w:val="none" w:color="auto" w:sz="0" w:space="0"/>
        </w:rPr>
        <w:t>Guangdong-Macao In-depth Cooperation Zone in Hengqin: Special policies offer comprehensive subsidies of up to tens of millions of yuan for MPW tape-out projects and high-caliber design and R&amp;D teams, to attract cross-border talents within the Greater Bay Area.</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rFonts w:hint="default" w:hAnsi="Times New Roman" w:cs="Times New Roman" w:asciiTheme="minorAscii"/>
          <w:b w:val="0"/>
          <w:bCs/>
          <w:color w:val="1F2329"/>
          <w:sz w:val="24"/>
          <w:szCs w:val="24"/>
        </w:rPr>
      </w:pPr>
      <w:r>
        <w:rPr>
          <w:rFonts w:hint="default" w:hAnsi="Times New Roman" w:cs="Times New Roman" w:asciiTheme="minorAscii"/>
          <w:b w:val="0"/>
          <w:bCs/>
          <w:color w:val="1F2329"/>
          <w:sz w:val="24"/>
          <w:szCs w:val="24"/>
          <w:bdr w:val="none" w:color="auto" w:sz="0" w:space="0"/>
        </w:rPr>
        <w:t>1.2 Analysis on the Adaptability of Talent Policy Coverage</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rFonts w:hint="default" w:hAnsi="Times New Roman" w:cs="Times New Roman" w:asciiTheme="minorAscii"/>
          <w:b w:val="0"/>
          <w:bCs/>
          <w:color w:val="1F2329"/>
          <w:sz w:val="24"/>
          <w:szCs w:val="24"/>
        </w:rPr>
      </w:pPr>
      <w:r>
        <w:rPr>
          <w:rFonts w:hint="default" w:hAnsi="Times New Roman" w:eastAsia="宋体" w:cs="Times New Roman" w:asciiTheme="minorAscii"/>
          <w:b w:val="0"/>
          <w:bCs/>
          <w:color w:val="1F2329"/>
          <w:kern w:val="0"/>
          <w:sz w:val="24"/>
          <w:szCs w:val="24"/>
          <w:bdr w:val="none" w:color="auto" w:sz="0" w:space="0"/>
          <w:lang w:val="en-US" w:eastAsia="zh-CN" w:bidi="ar"/>
        </w:rPr>
        <w:t>The existing talent policies feature uneven coverage and adaptability for professionals in different positions and with different academic backgrounds.</w:t>
      </w:r>
    </w:p>
    <w:p>
      <w:pPr>
        <w:rPr>
          <w:rFonts w:hint="default" w:hAnsi="Times New Roman" w:cs="Times New Roman" w:asciiTheme="minorAscii"/>
          <w:sz w:val="24"/>
          <w:szCs w:val="24"/>
        </w:rPr>
      </w:pPr>
    </w:p>
    <w:p>
      <w:pPr>
        <w:rPr>
          <w:rFonts w:hint="default" w:hAnsi="Times New Roman" w:cs="Times New Roman" w:asciiTheme="minorAscii"/>
          <w:sz w:val="24"/>
          <w:szCs w:val="24"/>
        </w:rPr>
      </w:pPr>
      <w:r>
        <w:rPr>
          <w:rFonts w:hAnsi="宋体" w:eastAsia="宋体" w:cs="宋体" w:asciiTheme="minorAscii"/>
          <w:sz w:val="24"/>
          <w:szCs w:val="24"/>
        </w:rPr>
        <w:t>Figure 1: Schematic of Policy Coverage and Matching Degree for IC Talent Subcategories in Guangdong Province</w:t>
      </w:r>
    </w:p>
    <w:p>
      <w:pPr>
        <w:rPr>
          <w:rFonts w:hint="default" w:ascii="Times New Roman" w:hAnsi="Times New Roman" w:cs="Times New Roman"/>
          <w:sz w:val="24"/>
          <w:szCs w:val="24"/>
        </w:rPr>
      </w:pPr>
      <w:r>
        <w:drawing>
          <wp:inline distT="0" distB="0" distL="114300" distR="114300">
            <wp:extent cx="5269865" cy="1838325"/>
            <wp:effectExtent l="0" t="0" r="698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9865" cy="1838325"/>
                    </a:xfrm>
                    <a:prstGeom prst="rect">
                      <a:avLst/>
                    </a:prstGeom>
                    <a:noFill/>
                    <a:ln>
                      <a:noFill/>
                    </a:ln>
                  </pic:spPr>
                </pic:pic>
              </a:graphicData>
            </a:graphic>
          </wp:inline>
        </w:drawing>
      </w:r>
    </w:p>
    <w:p>
      <w:pPr>
        <w:outlineLvl w:val="0"/>
        <w:rPr>
          <w:rFonts w:hint="default" w:hAnsi="Times New Roman" w:cs="Times New Roman" w:asciiTheme="minorAscii"/>
          <w:b w:val="0"/>
          <w:bCs/>
          <w:color w:val="1F2329"/>
          <w:sz w:val="24"/>
          <w:szCs w:val="24"/>
          <w:lang w:val="en-US" w:eastAsia="zh-CN"/>
        </w:rPr>
      </w:pPr>
      <w:r>
        <w:rPr>
          <w:rFonts w:hint="default" w:hAnsi="Times New Roman" w:cs="Times New Roman" w:asciiTheme="minorAscii"/>
          <w:b w:val="0"/>
          <w:bCs/>
          <w:color w:val="1F2329"/>
          <w:sz w:val="24"/>
          <w:szCs w:val="24"/>
          <w:lang w:val="en-US" w:eastAsia="zh-CN"/>
        </w:rPr>
        <w:t>- Talents in the design segment have a policy coverage rate of approximately 95% and are the core focus of local talent policies. R&amp;D team rewards, personal tax subsidies, and initial tape-out incentives launched by various districts are mostly tilted toward IC design fields, including digital front-end and back-end design, analog design, and EDA software research and development. High-end talents in this field can easily enjoy policy dividends through the direct recognition system or by undertaking leading roles in key projects.</w:t>
      </w:r>
    </w:p>
    <w:p>
      <w:pPr>
        <w:outlineLvl w:val="0"/>
        <w:rPr>
          <w:rFonts w:hint="default" w:hAnsi="Times New Roman" w:cs="Times New Roman" w:asciiTheme="minorAscii"/>
          <w:b w:val="0"/>
          <w:bCs/>
          <w:color w:val="1F2329"/>
          <w:sz w:val="24"/>
          <w:szCs w:val="24"/>
          <w:lang w:val="en-US" w:eastAsia="zh-CN"/>
        </w:rPr>
      </w:pPr>
      <w:r>
        <w:rPr>
          <w:rFonts w:hint="default" w:hAnsi="Times New Roman" w:cs="Times New Roman" w:asciiTheme="minorAscii"/>
          <w:b w:val="0"/>
          <w:bCs/>
          <w:color w:val="1F2329"/>
          <w:sz w:val="24"/>
          <w:szCs w:val="24"/>
          <w:lang w:val="en-US" w:eastAsia="zh-CN"/>
        </w:rPr>
        <w:t>- Engineering talents in the manufacturing and packaging segments have a coverage rate of about 80%. In recent years, Guangdong Province has vigorously made up for shortcomings in the IC manufacturing sector by promoting the construction of major projects such as Yuexin Semiconductor and Zengxin Semiconductor, and relevant policies have gradually covered teams engaged in compound semiconductors, advanced manufacturing processes and high-end packaging and testing. Nevertheless, compared with design talents, manufacturing engineering talents often fail to meet the traditional talent evaluation thresholds that simply take individual income tax payment amount or high academic qualifications as the single assessment standard.</w:t>
      </w:r>
    </w:p>
    <w:p>
      <w:pPr>
        <w:outlineLvl w:val="0"/>
        <w:rPr>
          <w:rFonts w:hint="default" w:hAnsi="Times New Roman" w:cs="Times New Roman" w:asciiTheme="minorAscii"/>
          <w:b w:val="0"/>
          <w:bCs/>
          <w:color w:val="1F2329"/>
          <w:sz w:val="24"/>
          <w:szCs w:val="24"/>
          <w:lang w:val="en-US" w:eastAsia="zh-CN"/>
        </w:rPr>
      </w:pPr>
      <w:r>
        <w:rPr>
          <w:rFonts w:hint="default" w:hAnsi="Times New Roman" w:cs="Times New Roman" w:asciiTheme="minorAscii"/>
          <w:b w:val="0"/>
          <w:bCs/>
          <w:color w:val="1F2329"/>
          <w:sz w:val="24"/>
          <w:szCs w:val="24"/>
          <w:lang w:val="en-US" w:eastAsia="zh-CN"/>
        </w:rPr>
        <w:t>- Application and testing technicians see a policy coverage rate of around 60%, mainly including layout designers, application engineers and staff responsible for routine testing. There are few special direct subsidies for this type of talent, who are mostly included in the scope of general young talent introduction subsidies or enterprise independent assessment quotas.</w:t>
      </w:r>
    </w:p>
    <w:p>
      <w:pPr>
        <w:keepNext w:val="0"/>
        <w:keepLines w:val="0"/>
        <w:widowControl/>
        <w:suppressLineNumbers w:val="0"/>
        <w:jc w:val="left"/>
        <w:rPr>
          <w:rFonts w:hint="default" w:hAnsi="Times New Roman" w:cs="Times New Roman" w:asciiTheme="minorAscii"/>
          <w:b w:val="0"/>
          <w:bCs/>
          <w:color w:val="1F2329"/>
          <w:sz w:val="24"/>
          <w:szCs w:val="24"/>
          <w:lang w:val="en-US" w:eastAsia="zh-CN"/>
        </w:rPr>
      </w:pPr>
      <w:r>
        <w:rPr>
          <w:rFonts w:hint="default" w:hAnsi="Times New Roman" w:cs="Times New Roman" w:asciiTheme="minorAscii"/>
          <w:b w:val="0"/>
          <w:bCs/>
          <w:color w:val="1F2329"/>
          <w:sz w:val="24"/>
          <w:szCs w:val="24"/>
          <w:lang w:val="en-US" w:eastAsia="zh-CN"/>
        </w:rPr>
        <w:t>- Frontline skilled workers have the lowest coverage rate of only about 35%. IC fabrication plants and packaging and testing factories need a large number of technicians and operators. At present, except for partial policies supporting skilled workers in household registration settlement and public rental housing, there are still insufficient targeted preferential policies for frontline workers in the IC manufacturing industry, leading to a long-term persistent labor shortage in the sector.</w:t>
      </w:r>
    </w:p>
    <w:p>
      <w:pPr>
        <w:keepNext w:val="0"/>
        <w:keepLines w:val="0"/>
        <w:widowControl/>
        <w:suppressLineNumbers w:val="0"/>
        <w:jc w:val="left"/>
        <w:rPr>
          <w:rFonts w:hint="default" w:hAnsi="Times New Roman" w:cs="Times New Roman" w:asciiTheme="minorAscii"/>
          <w:b w:val="0"/>
          <w:bCs/>
          <w:color w:val="1F2329"/>
          <w:sz w:val="24"/>
          <w:szCs w:val="24"/>
          <w:lang w:val="en-US" w:eastAsia="zh-CN"/>
        </w:rPr>
      </w:pPr>
    </w:p>
    <w:p>
      <w:pPr>
        <w:outlineLvl w:val="0"/>
        <w:rPr>
          <w:rFonts w:hint="default" w:hAnsi="Times New Roman" w:cs="Times New Roman" w:asciiTheme="minorAscii"/>
          <w:b w:val="0"/>
          <w:bCs/>
          <w:color w:val="1F2329"/>
          <w:sz w:val="24"/>
          <w:szCs w:val="24"/>
          <w:lang w:val="en-US" w:eastAsia="zh-CN"/>
        </w:rPr>
      </w:pPr>
      <w:r>
        <w:rPr>
          <w:rFonts w:hint="default" w:hAnsi="Times New Roman" w:cs="Times New Roman" w:asciiTheme="minorAscii"/>
          <w:b w:val="0"/>
          <w:bCs/>
          <w:color w:val="1F2329"/>
          <w:sz w:val="24"/>
          <w:szCs w:val="24"/>
          <w:lang w:val="en-US" w:eastAsia="zh-CN"/>
        </w:rPr>
        <w:t>2. Talent Salary Levels</w:t>
      </w:r>
    </w:p>
    <w:p>
      <w:pPr>
        <w:outlineLvl w:val="0"/>
        <w:rPr>
          <w:rFonts w:hint="default" w:hAnsi="Times New Roman" w:cs="Times New Roman" w:asciiTheme="minorAscii"/>
          <w:b w:val="0"/>
          <w:bCs/>
          <w:color w:val="1F2329"/>
          <w:sz w:val="24"/>
          <w:szCs w:val="24"/>
          <w:lang w:val="en-US" w:eastAsia="zh-CN"/>
        </w:rPr>
      </w:pPr>
      <w:r>
        <w:rPr>
          <w:rFonts w:hint="default" w:hAnsi="Times New Roman" w:cs="Times New Roman" w:asciiTheme="minorAscii"/>
          <w:b w:val="0"/>
          <w:bCs/>
          <w:color w:val="1F2329"/>
          <w:sz w:val="24"/>
          <w:szCs w:val="24"/>
          <w:lang w:val="en-US" w:eastAsia="zh-CN"/>
        </w:rPr>
        <w:t>The salary level of the integrated circuit industry in Guangdong Province ranks among the top tiers nationwide. In particular, the remuneration level of the IC design industry in Shenzhen is on a par with Shanghai and Beijing, forming the three highest-paying regions for IC talents across the country. The following presents the median salary and salary distribution range for core IC positions, which is compiled based on data from mainstream recruitment platforms and industry salary reports.</w:t>
      </w:r>
    </w:p>
    <w:p>
      <w:pPr>
        <w:rPr>
          <w:rFonts w:hint="default" w:ascii="Times New Roman" w:hAnsi="Times New Roman" w:cs="Times New Roman"/>
          <w:sz w:val="24"/>
          <w:szCs w:val="24"/>
        </w:rPr>
      </w:pPr>
    </w:p>
    <w:p>
      <w:pPr>
        <w:outlineLvl w:val="0"/>
        <w:rPr>
          <w:rFonts w:hint="default" w:hAnsi="Times New Roman" w:cs="Times New Roman" w:asciiTheme="minorAscii"/>
          <w:b w:val="0"/>
          <w:bCs/>
          <w:color w:val="1F2329"/>
          <w:sz w:val="24"/>
          <w:szCs w:val="24"/>
          <w:lang w:val="en-US" w:eastAsia="zh-CN"/>
        </w:rPr>
      </w:pPr>
      <w:r>
        <w:rPr>
          <w:rFonts w:hint="default" w:hAnsi="Times New Roman" w:cs="Times New Roman" w:asciiTheme="minorAscii"/>
          <w:b w:val="0"/>
          <w:bCs/>
          <w:color w:val="1F2329"/>
          <w:sz w:val="24"/>
          <w:szCs w:val="24"/>
          <w:lang w:val="en-US" w:eastAsia="zh-CN"/>
        </w:rPr>
        <w:t>2.1 Analysis of Salary Characteristics</w:t>
      </w:r>
    </w:p>
    <w:p>
      <w:pPr>
        <w:outlineLvl w:val="0"/>
        <w:rPr>
          <w:rFonts w:hint="default" w:hAnsi="Times New Roman" w:cs="Times New Roman" w:asciiTheme="minorAscii"/>
          <w:b w:val="0"/>
          <w:bCs/>
          <w:color w:val="1F2329"/>
          <w:sz w:val="24"/>
          <w:szCs w:val="24"/>
          <w:lang w:val="en-US" w:eastAsia="zh-CN"/>
        </w:rPr>
      </w:pPr>
      <w:r>
        <w:rPr>
          <w:rFonts w:hint="default" w:hAnsi="Times New Roman" w:cs="Times New Roman" w:asciiTheme="minorAscii"/>
          <w:b w:val="0"/>
          <w:bCs/>
          <w:color w:val="1F2329"/>
          <w:sz w:val="24"/>
          <w:szCs w:val="24"/>
          <w:lang w:val="en-US" w:eastAsia="zh-CN"/>
        </w:rPr>
        <w:t>1. Salaries for high-barrier positions show explosive growth</w:t>
      </w:r>
    </w:p>
    <w:p>
      <w:pPr>
        <w:outlineLvl w:val="0"/>
        <w:rPr>
          <w:rFonts w:hint="default" w:hAnsi="Times New Roman" w:cs="Times New Roman" w:asciiTheme="minorAscii"/>
          <w:b w:val="0"/>
          <w:bCs/>
          <w:color w:val="1F2329"/>
          <w:sz w:val="24"/>
          <w:szCs w:val="24"/>
          <w:lang w:val="en-US" w:eastAsia="zh-CN"/>
        </w:rPr>
      </w:pPr>
      <w:r>
        <w:rPr>
          <w:rFonts w:hint="default" w:hAnsi="Times New Roman" w:cs="Times New Roman" w:asciiTheme="minorAscii"/>
          <w:b w:val="0"/>
          <w:bCs/>
          <w:color w:val="1F2329"/>
          <w:sz w:val="24"/>
          <w:szCs w:val="24"/>
          <w:lang w:val="en-US" w:eastAsia="zh-CN"/>
        </w:rPr>
        <w:t>Salaries for core positions crucial to breaking technological bottlenecks, including digital front-end design, analog chip design and algorithm development, register a median monthly salary of around 35,000 yuan, with annual bonuses generally higher than the industry average. Senior professionals with more than eight years of working experience can achieve an annual salary of 800,000 yuan to over 1.2 million yuan.</w:t>
      </w:r>
    </w:p>
    <w:p>
      <w:pPr>
        <w:outlineLvl w:val="0"/>
        <w:rPr>
          <w:rFonts w:hint="default" w:hAnsi="Times New Roman" w:cs="Times New Roman" w:asciiTheme="minorAscii"/>
          <w:b w:val="0"/>
          <w:bCs/>
          <w:color w:val="1F2329"/>
          <w:sz w:val="24"/>
          <w:szCs w:val="24"/>
          <w:lang w:val="en-US" w:eastAsia="zh-CN"/>
        </w:rPr>
      </w:pPr>
      <w:r>
        <w:rPr>
          <w:rFonts w:hint="default" w:hAnsi="Times New Roman" w:cs="Times New Roman" w:asciiTheme="minorAscii"/>
          <w:b w:val="0"/>
          <w:bCs/>
          <w:color w:val="1F2329"/>
          <w:sz w:val="24"/>
          <w:szCs w:val="24"/>
          <w:lang w:val="en-US" w:eastAsia="zh-CN"/>
        </w:rPr>
        <w:t>2. Relatively stable salary growth in the manufacturing segment</w:t>
      </w:r>
    </w:p>
    <w:p>
      <w:pPr>
        <w:outlineLvl w:val="0"/>
        <w:rPr>
          <w:rFonts w:hint="default" w:hAnsi="Times New Roman" w:cs="Times New Roman" w:asciiTheme="minorAscii"/>
          <w:b w:val="0"/>
          <w:bCs/>
          <w:color w:val="1F2329"/>
          <w:sz w:val="24"/>
          <w:szCs w:val="24"/>
          <w:lang w:val="en-US" w:eastAsia="zh-CN"/>
        </w:rPr>
      </w:pPr>
      <w:r>
        <w:rPr>
          <w:rFonts w:hint="default" w:hAnsi="Times New Roman" w:cs="Times New Roman" w:asciiTheme="minorAscii"/>
          <w:b w:val="0"/>
          <w:bCs/>
          <w:color w:val="1F2329"/>
          <w:sz w:val="24"/>
          <w:szCs w:val="24"/>
          <w:lang w:val="en-US" w:eastAsia="zh-CN"/>
        </w:rPr>
        <w:t>Process engineers and equipment engineers in wafer foundries see relatively stable salary levels. Fresh bachelor’s degree graduates earn 10,000 to 15,000 yuan per month, while professionals with one to three years of working experience have a monthly salary ranging from 15,000 to 22,000 yuan. The salary growth rate in the manufacturing segment is significantly lower than that in the front-end design sector.</w:t>
      </w:r>
    </w:p>
    <w:p>
      <w:pPr>
        <w:outlineLvl w:val="0"/>
        <w:rPr>
          <w:rFonts w:hint="default" w:hAnsi="Times New Roman" w:cs="Times New Roman" w:asciiTheme="minorAscii"/>
          <w:b w:val="0"/>
          <w:bCs/>
          <w:color w:val="1F2329"/>
          <w:sz w:val="24"/>
          <w:szCs w:val="24"/>
          <w:lang w:val="en-US" w:eastAsia="zh-CN"/>
        </w:rPr>
      </w:pPr>
      <w:r>
        <w:rPr>
          <w:rFonts w:hint="default" w:hAnsi="Times New Roman" w:cs="Times New Roman" w:asciiTheme="minorAscii"/>
          <w:b w:val="0"/>
          <w:bCs/>
          <w:color w:val="1F2329"/>
          <w:sz w:val="24"/>
          <w:szCs w:val="24"/>
          <w:lang w:val="en-US" w:eastAsia="zh-CN"/>
        </w:rPr>
        <w:t>3. Rising salary levels for core management positions</w:t>
      </w:r>
    </w:p>
    <w:p>
      <w:pPr>
        <w:outlineLvl w:val="0"/>
        <w:rPr>
          <w:rFonts w:hint="default" w:hAnsi="Times New Roman" w:cs="Times New Roman" w:asciiTheme="minorAscii"/>
          <w:b w:val="0"/>
          <w:bCs/>
          <w:color w:val="1F2329"/>
          <w:sz w:val="24"/>
          <w:szCs w:val="24"/>
          <w:lang w:val="en-US" w:eastAsia="zh-CN"/>
        </w:rPr>
      </w:pPr>
      <w:r>
        <w:rPr>
          <w:rFonts w:hint="default" w:hAnsi="Times New Roman" w:cs="Times New Roman" w:asciiTheme="minorAscii"/>
          <w:b w:val="0"/>
          <w:bCs/>
          <w:color w:val="1F2329"/>
          <w:sz w:val="24"/>
          <w:szCs w:val="24"/>
          <w:lang w:val="en-US" w:eastAsia="zh-CN"/>
        </w:rPr>
        <w:t>According to the latest salary trend analysis, core management positions such as General Manager and Deputy General Manager of IC product lines in first-tier cities including Shenzhen and Guangzhou have a median annual salary of over 950,000 yuan, with the 90th percentile reaching 1.2 million yuan, approximately 20% higher than that in second-tier cities, reflecting the high value of high-end industrial talents.</w:t>
      </w:r>
    </w:p>
    <w:p>
      <w:pPr>
        <w:rPr>
          <w:rFonts w:hint="default" w:ascii="Times New Roman" w:hAnsi="Times New Roman" w:cs="Times New Roman"/>
          <w:sz w:val="24"/>
          <w:szCs w:val="24"/>
        </w:rPr>
      </w:pPr>
    </w:p>
    <w:p>
      <w:pPr>
        <w:rPr>
          <w:rFonts w:hint="default" w:ascii="Times New Roman" w:hAnsi="Times New Roman" w:cs="Times New Roman"/>
          <w:sz w:val="24"/>
          <w:szCs w:val="24"/>
        </w:rPr>
      </w:pPr>
      <w:r>
        <w:rPr>
          <w:rFonts w:hint="default" w:ascii="Times New Roman" w:hAnsi="Times New Roman" w:cs="Times New Roman"/>
          <w:sz w:val="24"/>
          <w:szCs w:val="24"/>
        </w:rPr>
        <w:t>3. Industry Competitiveness Evaluation</w:t>
      </w:r>
    </w:p>
    <w:p>
      <w:pPr>
        <w:rPr>
          <w:rFonts w:hint="default" w:ascii="Times New Roman" w:hAnsi="Times New Roman" w:cs="Times New Roman"/>
          <w:sz w:val="24"/>
          <w:szCs w:val="24"/>
        </w:rPr>
      </w:pPr>
      <w:r>
        <w:rPr>
          <w:rFonts w:hint="default" w:ascii="Times New Roman" w:hAnsi="Times New Roman" w:cs="Times New Roman"/>
          <w:sz w:val="24"/>
          <w:szCs w:val="24"/>
        </w:rPr>
        <w:t>A horizontal comparison of the talent environment for the integrated circuit industry in Guangdong Province with that of the Yangtze River Delta (including Shanghai, Wuxi, Suzhou and other cities) and central and western regions (including Chengdu, Xi'an, Wuhan and other cities) helps assess its overall competitiveness in the talent market.</w:t>
      </w:r>
    </w:p>
    <w:p>
      <w:pPr>
        <w:rPr>
          <w:rFonts w:hint="default" w:ascii="Times New Roman" w:hAnsi="Times New Roman" w:cs="Times New Roman"/>
          <w:sz w:val="24"/>
          <w:szCs w:val="24"/>
        </w:rPr>
      </w:pPr>
    </w:p>
    <w:p>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Figure 3: SWOT Matrix of IC Talent Competitiveness in Guangdong Province</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Strengths</w:t>
            </w:r>
          </w:p>
          <w:p>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Extremely large end-user application market (consumer electronics, new energy vehicles, AI)</w:t>
            </w:r>
          </w:p>
          <w:p>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Unique attractiveness of the 15% individual income tax preference for overseas talents, with proximity to Hong Kong and Macao</w:t>
            </w:r>
            <w:r>
              <w:rPr>
                <w:rFonts w:hint="eastAsia" w:ascii="Times New Roman" w:hAnsi="Times New Roman" w:cs="Times New Roman"/>
                <w:sz w:val="24"/>
                <w:szCs w:val="24"/>
                <w:lang w:val="en-US" w:eastAsia="zh-CN"/>
              </w:rPr>
              <w:t>.</w:t>
            </w:r>
          </w:p>
        </w:tc>
        <w:tc>
          <w:tcPr>
            <w:tcW w:w="4261" w:type="dxa"/>
          </w:tcPr>
          <w:p>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Weaknesses</w:t>
            </w:r>
          </w:p>
          <w:p>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Leading foundational core enterprises in wafer manufacturing, EDA, etc., are still relatively underdeveloped compared with the Yangtze River Delta</w:t>
            </w:r>
          </w:p>
          <w:p>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Extremely high living and housing costs in core cities such as Shenzhen and Guangzhou restrict talent retention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Opportunities</w:t>
            </w:r>
          </w:p>
          <w:p>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Strategic expansion of enrollment by local universities, accelerating the establishment of talent pipelines (quadrupling in five years)</w:t>
            </w:r>
          </w:p>
          <w:tbl>
            <w:tblPr>
              <w:tblW w:w="0" w:type="auto"/>
              <w:tblCellSpacing w:w="15" w:type="dxa"/>
              <w:tblInd w:w="-3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404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shd w:val="clear"/>
                  <w:vAlign w:val="center"/>
                </w:tcPr>
                <w:p>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2. The "Greater Bay Area Postdoctoral" innovation and entrepreneurship platform and the "listing and leading" mechanism accelerate the commercialization of research results</w:t>
                  </w:r>
                </w:p>
              </w:tc>
            </w:tr>
          </w:tbl>
          <w:p>
            <w:pPr>
              <w:rPr>
                <w:rFonts w:hint="default" w:ascii="Times New Roman" w:hAnsi="Times New Roman" w:cs="Times New Roman"/>
                <w:sz w:val="24"/>
                <w:szCs w:val="24"/>
                <w:lang w:val="en-US" w:eastAsia="zh-CN"/>
              </w:rPr>
            </w:pPr>
          </w:p>
        </w:tc>
        <w:tc>
          <w:tcPr>
            <w:tcW w:w="4261" w:type="dxa"/>
          </w:tcPr>
          <w:p>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Threats</w:t>
            </w:r>
          </w:p>
          <w:p>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The mature ecosystem of the Yangtze River Delta has strong attractiveness, with more cost-effective locations such as Wuxi and Suzhou</w:t>
            </w:r>
          </w:p>
          <w:p>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Central and western cities such as Chengdu and Xi'an are diverting manufacturing talents with their cost-effective living environments</w:t>
            </w:r>
          </w:p>
        </w:tc>
      </w:tr>
    </w:tbl>
    <w:p>
      <w:pPr>
        <w:rPr>
          <w:rFonts w:ascii="宋体" w:hAnsi="宋体" w:eastAsia="宋体" w:cs="宋体"/>
          <w:sz w:val="24"/>
          <w:szCs w:val="24"/>
        </w:rPr>
      </w:pPr>
    </w:p>
    <w:p>
      <w:pPr>
        <w:rPr>
          <w:rFonts w:ascii="宋体" w:hAnsi="宋体" w:eastAsia="宋体" w:cs="宋体"/>
          <w:sz w:val="24"/>
          <w:szCs w:val="24"/>
        </w:rPr>
      </w:pPr>
    </w:p>
    <w:p>
      <w:pPr>
        <w:rPr>
          <w:rFonts w:hint="default" w:ascii="宋体" w:hAnsi="宋体" w:eastAsia="宋体" w:cs="宋体"/>
          <w:sz w:val="24"/>
          <w:szCs w:val="24"/>
        </w:rPr>
      </w:pPr>
    </w:p>
    <w:p>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3.1 Core Advantages: Terminal Application Momentum and Policy Flexibility</w:t>
      </w:r>
    </w:p>
    <w:p>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Guangdong hosts the largest semiconductor and integrated circuit application market in China, accounting for approximately 40 percent of the country’s total import volume. Industry giants including Huawei, BYD, Midea and GAC Group generate extensive and diversified chip application scenarios, enabling an efficient and rapid iteration cycle between chip design and market application.</w:t>
      </w:r>
    </w:p>
    <w:p>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The region also boasts unique policy advantages underpinned by Guangdong-Hong Kong-Macao integration. The 15 percent individual income tax concession for overseas talents in the Greater Bay Area, together with streamlined incentive policies such as the Guangdong Premium Talent Card, delivers irreplaceable appeal to high-end experts from Hong Kong, Macao, Taiwan and overseas countries.</w:t>
      </w:r>
    </w:p>
    <w:p>
      <w:pPr>
        <w:rPr>
          <w:rFonts w:hint="default" w:ascii="Times New Roman" w:hAnsi="Times New Roman" w:cs="Times New Roman"/>
          <w:sz w:val="24"/>
          <w:szCs w:val="24"/>
          <w:lang w:val="en-US" w:eastAsia="zh-CN"/>
        </w:rPr>
      </w:pPr>
    </w:p>
    <w:p>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3.2 Key Competitive Challenges</w:t>
      </w:r>
    </w:p>
    <w:p>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High living and housing costs have caused continuous talent outflow pressure. Due to the elevated living expenses in Shenzhen and Guangzhou, mid-level engineers with three to five years of working experience and an annual salary ranging from 300,000 to 500,000 yuan are easily attracted to alternative cities including Wuxi, Suzhou, Chengdu and Xi’an. These cities feature solid industrial foundations and more affordable housing conditions, resulting in a common dilemma for Guangdong: the region can recruit talents with competitive compensation yet struggles to retain them sustainably.</w:t>
      </w:r>
    </w:p>
    <w:p>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The local IC manufacturing ecosystem is still in its early development stage and faces inherent constraints. Although major industrial projects such as Founder Microelectronics, CR Micro, Yuexin Semiconductor and Zengxin Semiconductor are rapidly expanding production capacity, Guangdong still lacks a sufficient base of professionals in manufacturing processes, equipment research and material development compared with the well-established industrial clusters in the Yangtze River Delta that have accumulated over a decade. The talent reserve for the mid-stream industrial chain covering chip manufacturing and advanced packaging remains insufficient and requires further consolidation.</w:t>
      </w: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Reference</w:t>
      </w:r>
    </w:p>
    <w:p>
      <w:pPr>
        <w:numPr>
          <w:ilvl w:val="0"/>
          <w:numId w:val="2"/>
        </w:numPr>
        <w:ind w:left="425" w:leftChars="0" w:hanging="425" w:firstLineChars="0"/>
        <w:rPr>
          <w:rFonts w:hint="default" w:ascii="Arial" w:hAnsi="Arial" w:eastAsia="宋体" w:cs="Arial"/>
          <w:i w:val="0"/>
          <w:caps w:val="0"/>
          <w:color w:val="000000"/>
          <w:spacing w:val="0"/>
          <w:sz w:val="27"/>
          <w:szCs w:val="27"/>
        </w:rPr>
      </w:pPr>
      <w:r>
        <w:rPr>
          <w:rFonts w:ascii="Arial" w:hAnsi="Arial" w:eastAsia="宋体" w:cs="Arial"/>
          <w:i w:val="0"/>
          <w:caps w:val="0"/>
          <w:color w:val="681DA8"/>
          <w:spacing w:val="0"/>
          <w:sz w:val="27"/>
          <w:szCs w:val="27"/>
        </w:rPr>
        <w:fldChar w:fldCharType="begin"/>
      </w:r>
      <w:r>
        <w:rPr>
          <w:rFonts w:ascii="Arial" w:hAnsi="Arial" w:eastAsia="宋体" w:cs="Arial"/>
          <w:i w:val="0"/>
          <w:caps w:val="0"/>
          <w:color w:val="681DA8"/>
          <w:spacing w:val="0"/>
          <w:sz w:val="27"/>
          <w:szCs w:val="27"/>
        </w:rPr>
        <w:instrText xml:space="preserve"> HYPERLINK "https://vertexaisearch.cloud.google.com/grounding-api-redirect/AUZIYQFw4oIx_sOD5bjRDlwNo4YB6xzG2u9SwMFXorydxs4RiWCxKI2r0Djle06qc0ZP1KDSayt4QSIbUUl-woIKARwm-kTQUmtESiy24CF8ow5b_I_yiHnFv4Cyk3Xsq4kUctjAtTQutahDX6KMliIpXtjHxbPigmUBVKM1MdAkI5p8YRfjZXG2b081KD51ozWUD9g5L0iYGw==" </w:instrText>
      </w:r>
      <w:r>
        <w:rPr>
          <w:rFonts w:ascii="Arial" w:hAnsi="Arial" w:eastAsia="宋体" w:cs="Arial"/>
          <w:i w:val="0"/>
          <w:caps w:val="0"/>
          <w:color w:val="681DA8"/>
          <w:spacing w:val="0"/>
          <w:sz w:val="27"/>
          <w:szCs w:val="27"/>
        </w:rPr>
        <w:fldChar w:fldCharType="separate"/>
      </w:r>
      <w:r>
        <w:rPr>
          <w:rStyle w:val="12"/>
          <w:rFonts w:hint="default" w:ascii="Arial" w:hAnsi="Arial" w:eastAsia="宋体" w:cs="Arial"/>
          <w:i w:val="0"/>
          <w:caps w:val="0"/>
          <w:color w:val="681DA8"/>
          <w:spacing w:val="0"/>
          <w:sz w:val="27"/>
          <w:szCs w:val="27"/>
        </w:rPr>
        <w:t>https://vertexaisearch.cloud.google.com/grounding-api-redirect/AUZIYQFw4oIx_sOD5bjRDlwNo4YB6xzG2u9SwMFXorydxs4RiWCxKI2r0Djle06qc0ZP1KDSayt4QSIbUUl-woIKARwm-kTQUmtESiy24CF8ow5b_I_yiHnFv4Cyk3Xsq4kUctjAtTQutahDX6KMliIpXtjHxbPigmUBVKM1MdAkI5p8YRfjZXG2b081KD51ozWUD9g5L0iYGw==</w:t>
      </w:r>
      <w:r>
        <w:rPr>
          <w:rFonts w:hint="default" w:ascii="Arial" w:hAnsi="Arial" w:eastAsia="宋体" w:cs="Arial"/>
          <w:i w:val="0"/>
          <w:caps w:val="0"/>
          <w:color w:val="681DA8"/>
          <w:spacing w:val="0"/>
          <w:sz w:val="27"/>
          <w:szCs w:val="27"/>
        </w:rPr>
        <w:fldChar w:fldCharType="end"/>
      </w:r>
      <w:r>
        <w:rPr>
          <w:rFonts w:hint="default" w:ascii="Arial" w:hAnsi="Arial" w:eastAsia="宋体" w:cs="Arial"/>
          <w:i w:val="0"/>
          <w:caps w:val="0"/>
          <w:color w:val="000000"/>
          <w:spacing w:val="0"/>
          <w:sz w:val="27"/>
          <w:szCs w:val="27"/>
        </w:rPr>
        <w:t>.</w:t>
      </w:r>
    </w:p>
    <w:p>
      <w:pPr>
        <w:numPr>
          <w:ilvl w:val="0"/>
          <w:numId w:val="2"/>
        </w:numPr>
        <w:ind w:left="425" w:leftChars="0" w:hanging="425" w:firstLineChars="0"/>
        <w:rPr>
          <w:rFonts w:hint="default" w:ascii="Arial" w:hAnsi="Arial" w:eastAsia="宋体" w:cs="Arial"/>
          <w:i w:val="0"/>
          <w:caps w:val="0"/>
          <w:color w:val="000000"/>
          <w:spacing w:val="0"/>
          <w:sz w:val="27"/>
          <w:szCs w:val="27"/>
        </w:rPr>
      </w:pPr>
      <w:r>
        <w:rPr>
          <w:rFonts w:ascii="Arial" w:hAnsi="Arial" w:eastAsia="宋体" w:cs="Arial"/>
          <w:i w:val="0"/>
          <w:caps w:val="0"/>
          <w:color w:val="681DA8"/>
          <w:spacing w:val="0"/>
          <w:sz w:val="27"/>
          <w:szCs w:val="27"/>
        </w:rPr>
        <w:fldChar w:fldCharType="begin"/>
      </w:r>
      <w:r>
        <w:rPr>
          <w:rFonts w:ascii="Arial" w:hAnsi="Arial" w:eastAsia="宋体" w:cs="Arial"/>
          <w:i w:val="0"/>
          <w:caps w:val="0"/>
          <w:color w:val="681DA8"/>
          <w:spacing w:val="0"/>
          <w:sz w:val="27"/>
          <w:szCs w:val="27"/>
        </w:rPr>
        <w:instrText xml:space="preserve"> HYPERLINK "https://vertexaisearch.cloud.google.com/grounding-api-redirect/AUZIYQHFCQK6-LEF6pDjNjBAvu6Wkgki61iZH2EDZQ7poo4u8xr_c187VY0uz83jGhwDszperPQP4nxj32lYXUtlp2Oort5fKfcAVQmRZ0JYNUFnRoUBueTUQEOhccp3k2MaQ-WoQgAue1npgAxt27CT5M1b1lhH" </w:instrText>
      </w:r>
      <w:r>
        <w:rPr>
          <w:rFonts w:ascii="Arial" w:hAnsi="Arial" w:eastAsia="宋体" w:cs="Arial"/>
          <w:i w:val="0"/>
          <w:caps w:val="0"/>
          <w:color w:val="681DA8"/>
          <w:spacing w:val="0"/>
          <w:sz w:val="27"/>
          <w:szCs w:val="27"/>
        </w:rPr>
        <w:fldChar w:fldCharType="separate"/>
      </w:r>
      <w:r>
        <w:rPr>
          <w:rStyle w:val="12"/>
          <w:rFonts w:hint="default" w:ascii="Arial" w:hAnsi="Arial" w:eastAsia="宋体" w:cs="Arial"/>
          <w:i w:val="0"/>
          <w:caps w:val="0"/>
          <w:color w:val="681DA8"/>
          <w:spacing w:val="0"/>
          <w:sz w:val="27"/>
          <w:szCs w:val="27"/>
        </w:rPr>
        <w:t>https://vertexaisearch.cloud.google.com/grounding-api-redirect/AUZIYQHFCQK6-LEF6pDjNjBAvu6Wkgki61iZH2EDZQ7poo4u8xr_c187VY0uz83jGhwDszperPQP4nxj32lYXUtlp2Oort5fKfcAVQmRZ0JYNUFnRoUBueTUQEOhccp3k2MaQ-WoQgAue1npgAxt27CT5M1b1lhH</w:t>
      </w:r>
      <w:r>
        <w:rPr>
          <w:rFonts w:hint="default" w:ascii="Arial" w:hAnsi="Arial" w:eastAsia="宋体" w:cs="Arial"/>
          <w:i w:val="0"/>
          <w:caps w:val="0"/>
          <w:color w:val="681DA8"/>
          <w:spacing w:val="0"/>
          <w:sz w:val="27"/>
          <w:szCs w:val="27"/>
        </w:rPr>
        <w:fldChar w:fldCharType="end"/>
      </w:r>
      <w:r>
        <w:rPr>
          <w:rFonts w:hint="default" w:ascii="Arial" w:hAnsi="Arial" w:eastAsia="宋体" w:cs="Arial"/>
          <w:i w:val="0"/>
          <w:caps w:val="0"/>
          <w:color w:val="000000"/>
          <w:spacing w:val="0"/>
          <w:sz w:val="27"/>
          <w:szCs w:val="27"/>
        </w:rPr>
        <w:t>.</w:t>
      </w:r>
    </w:p>
    <w:p>
      <w:pPr>
        <w:numPr>
          <w:ilvl w:val="0"/>
          <w:numId w:val="2"/>
        </w:numPr>
        <w:ind w:left="425" w:leftChars="0" w:hanging="425" w:firstLineChars="0"/>
        <w:rPr>
          <w:rFonts w:hint="eastAsia" w:ascii="Arial" w:hAnsi="Arial" w:eastAsia="宋体" w:cs="Arial"/>
          <w:i w:val="0"/>
          <w:caps w:val="0"/>
          <w:color w:val="000000"/>
          <w:spacing w:val="0"/>
          <w:sz w:val="27"/>
          <w:szCs w:val="27"/>
          <w:lang w:val="en-US" w:eastAsia="zh-CN"/>
        </w:rPr>
      </w:pPr>
      <w:r>
        <w:rPr>
          <w:rFonts w:ascii="Arial" w:hAnsi="Arial" w:eastAsia="宋体" w:cs="Arial"/>
          <w:i w:val="0"/>
          <w:caps w:val="0"/>
          <w:color w:val="000000"/>
          <w:spacing w:val="0"/>
          <w:sz w:val="27"/>
          <w:szCs w:val="27"/>
        </w:rPr>
        <w:t> </w:t>
      </w:r>
      <w:r>
        <w:rPr>
          <w:rFonts w:hint="default" w:ascii="Arial" w:hAnsi="Arial" w:eastAsia="宋体" w:cs="Arial"/>
          <w:i w:val="0"/>
          <w:caps w:val="0"/>
          <w:color w:val="681DA8"/>
          <w:spacing w:val="0"/>
          <w:sz w:val="27"/>
          <w:szCs w:val="27"/>
        </w:rPr>
        <w:fldChar w:fldCharType="begin"/>
      </w:r>
      <w:r>
        <w:rPr>
          <w:rFonts w:hint="default" w:ascii="Arial" w:hAnsi="Arial" w:eastAsia="宋体" w:cs="Arial"/>
          <w:i w:val="0"/>
          <w:caps w:val="0"/>
          <w:color w:val="681DA8"/>
          <w:spacing w:val="0"/>
          <w:sz w:val="27"/>
          <w:szCs w:val="27"/>
        </w:rPr>
        <w:instrText xml:space="preserve"> HYPERLINK "https://vertexaisearch.cloud.google.com/grounding-api-redirect/AUZIYQHg_m6rpcormlopdoDu0zf-YWT36wMB0Rlg7j8Xk2tpHkamFs8kuCE4QNLzw2tOIO-zYssNgPtmtYV_C-hedOsv_MhTTurElAGlleGGAXMIZfiXGYxufJl3t4P4WMasPUVtsSuL_HlAL2WEGr1O9W0=" </w:instrText>
      </w:r>
      <w:r>
        <w:rPr>
          <w:rFonts w:hint="default" w:ascii="Arial" w:hAnsi="Arial" w:eastAsia="宋体" w:cs="Arial"/>
          <w:i w:val="0"/>
          <w:caps w:val="0"/>
          <w:color w:val="681DA8"/>
          <w:spacing w:val="0"/>
          <w:sz w:val="27"/>
          <w:szCs w:val="27"/>
        </w:rPr>
        <w:fldChar w:fldCharType="separate"/>
      </w:r>
      <w:r>
        <w:rPr>
          <w:rStyle w:val="12"/>
          <w:rFonts w:hint="default" w:ascii="Arial" w:hAnsi="Arial" w:eastAsia="宋体" w:cs="Arial"/>
          <w:i w:val="0"/>
          <w:caps w:val="0"/>
          <w:color w:val="681DA8"/>
          <w:spacing w:val="0"/>
          <w:sz w:val="27"/>
          <w:szCs w:val="27"/>
        </w:rPr>
        <w:t>https://vertexaisearch.cloud.google.com/grounding-api-redirect/AUZIYQHg_m6rpcormlopdoDu0zf-YWT36wMB0Rlg7j8Xk2tpHkamFs8kuCE4QNLzw2tOIO-zYssNgPtmtYV_C-hedOsv_MhTTurElAGlleGGAXMIZfiXGYxufJl3t4P4WMasPUVtsSuL_HlAL2WEGr1O9W0=</w:t>
      </w:r>
      <w:r>
        <w:rPr>
          <w:rFonts w:hint="default" w:ascii="Arial" w:hAnsi="Arial" w:eastAsia="宋体" w:cs="Arial"/>
          <w:i w:val="0"/>
          <w:caps w:val="0"/>
          <w:color w:val="681DA8"/>
          <w:spacing w:val="0"/>
          <w:sz w:val="27"/>
          <w:szCs w:val="27"/>
        </w:rPr>
        <w:fldChar w:fldCharType="end"/>
      </w:r>
      <w:r>
        <w:rPr>
          <w:rFonts w:hint="default" w:ascii="Arial" w:hAnsi="Arial" w:eastAsia="宋体" w:cs="Arial"/>
          <w:i w:val="0"/>
          <w:caps w:val="0"/>
          <w:color w:val="000000"/>
          <w:spacing w:val="0"/>
          <w:sz w:val="27"/>
          <w:szCs w:val="27"/>
        </w:rPr>
        <w:t>.</w:t>
      </w:r>
      <w:r>
        <w:rPr>
          <w:rFonts w:ascii="Arial" w:hAnsi="Arial" w:eastAsia="宋体" w:cs="Arial"/>
          <w:i w:val="0"/>
          <w:caps w:val="0"/>
          <w:color w:val="000000"/>
          <w:spacing w:val="0"/>
          <w:sz w:val="27"/>
          <w:szCs w:val="27"/>
        </w:rPr>
        <w:t> </w:t>
      </w:r>
      <w:r>
        <w:rPr>
          <w:rFonts w:hint="default" w:ascii="Arial" w:hAnsi="Arial" w:eastAsia="宋体" w:cs="Arial"/>
          <w:i w:val="0"/>
          <w:caps w:val="0"/>
          <w:color w:val="681DA8"/>
          <w:spacing w:val="0"/>
          <w:sz w:val="27"/>
          <w:szCs w:val="27"/>
        </w:rPr>
        <w:fldChar w:fldCharType="begin"/>
      </w:r>
      <w:r>
        <w:rPr>
          <w:rFonts w:hint="default" w:ascii="Arial" w:hAnsi="Arial" w:eastAsia="宋体" w:cs="Arial"/>
          <w:i w:val="0"/>
          <w:caps w:val="0"/>
          <w:color w:val="681DA8"/>
          <w:spacing w:val="0"/>
          <w:sz w:val="27"/>
          <w:szCs w:val="27"/>
        </w:rPr>
        <w:instrText xml:space="preserve"> HYPERLINK "https://vertexaisearch.cloud.google.com/grounding-api-redirect/AUZIYQHg_m6rpcormlopdoDu0zf-YWT36wMB0Rlg7j8Xk2tpHkamFs8kuCE4QNLzw2tOIO-zYssNgPtmtYV_C-hedOsv_MhTTurElAGlleGGAXMIZfiXGYxufJl3t4P4WMasPUVtsSuL_HlAL2WEGr1O9W0=" </w:instrText>
      </w:r>
      <w:r>
        <w:rPr>
          <w:rFonts w:hint="default" w:ascii="Arial" w:hAnsi="Arial" w:eastAsia="宋体" w:cs="Arial"/>
          <w:i w:val="0"/>
          <w:caps w:val="0"/>
          <w:color w:val="681DA8"/>
          <w:spacing w:val="0"/>
          <w:sz w:val="27"/>
          <w:szCs w:val="27"/>
        </w:rPr>
        <w:fldChar w:fldCharType="separate"/>
      </w:r>
      <w:r>
        <w:rPr>
          <w:rStyle w:val="12"/>
          <w:rFonts w:hint="default" w:ascii="Arial" w:hAnsi="Arial" w:eastAsia="宋体" w:cs="Arial"/>
          <w:i w:val="0"/>
          <w:caps w:val="0"/>
          <w:color w:val="681DA8"/>
          <w:spacing w:val="0"/>
          <w:sz w:val="27"/>
          <w:szCs w:val="27"/>
        </w:rPr>
        <w:t>https://vertexaisearch.cloud.google.com/grounding-api-redirect/AUZIYQHg_m6rpcormlopdoDu0zf-YWT36wMB0Rlg7j8Xk2tpHkamFs8kuCE4QNLzw2tOIO-zYssNgPtmtYV_C-hedOsv_MhTTurElAGlleGGAXMIZfiXGYxufJl3t4P4WMasPUVtsSuL_HlAL2WEGr1O9W0=</w:t>
      </w:r>
      <w:r>
        <w:rPr>
          <w:rFonts w:hint="default" w:ascii="Arial" w:hAnsi="Arial" w:eastAsia="宋体" w:cs="Arial"/>
          <w:i w:val="0"/>
          <w:caps w:val="0"/>
          <w:color w:val="681DA8"/>
          <w:spacing w:val="0"/>
          <w:sz w:val="27"/>
          <w:szCs w:val="27"/>
        </w:rPr>
        <w:fldChar w:fldCharType="end"/>
      </w:r>
      <w:r>
        <w:rPr>
          <w:rFonts w:hint="default" w:ascii="Arial" w:hAnsi="Arial" w:eastAsia="宋体" w:cs="Arial"/>
          <w:i w:val="0"/>
          <w:caps w:val="0"/>
          <w:color w:val="000000"/>
          <w:spacing w:val="0"/>
          <w:sz w:val="27"/>
          <w:szCs w:val="27"/>
        </w:rPr>
        <w:t>.</w:t>
      </w:r>
      <w:bookmarkStart w:id="0" w:name="_GoBack"/>
      <w:bookmarkEnd w:id="0"/>
      <w:r>
        <w:rPr>
          <w:rFonts w:ascii="Arial" w:hAnsi="Arial" w:eastAsia="宋体" w:cs="Arial"/>
          <w:i w:val="0"/>
          <w:caps w:val="0"/>
          <w:color w:val="681DA8"/>
          <w:spacing w:val="0"/>
          <w:sz w:val="27"/>
          <w:szCs w:val="27"/>
        </w:rPr>
        <w:fldChar w:fldCharType="begin"/>
      </w:r>
      <w:r>
        <w:rPr>
          <w:rFonts w:ascii="Arial" w:hAnsi="Arial" w:eastAsia="宋体" w:cs="Arial"/>
          <w:i w:val="0"/>
          <w:caps w:val="0"/>
          <w:color w:val="681DA8"/>
          <w:spacing w:val="0"/>
          <w:sz w:val="27"/>
          <w:szCs w:val="27"/>
        </w:rPr>
        <w:instrText xml:space="preserve"> HYPERLINK "https://vertexaisearch.cloud.google.com/grounding-api-redirect/AUZIYQFTyTKvZiQ0UsAHIgGiGW3ZxHHRwKlVWW5h8aYfOSLAVf7Qv5y1rILd-ACTxma-lZzZAsFTA9sPu4KBfqEWTX2BqZlvHqBS1jY2OnYrAzZRU2o_ag==" </w:instrText>
      </w:r>
      <w:r>
        <w:rPr>
          <w:rFonts w:ascii="Arial" w:hAnsi="Arial" w:eastAsia="宋体" w:cs="Arial"/>
          <w:i w:val="0"/>
          <w:caps w:val="0"/>
          <w:color w:val="681DA8"/>
          <w:spacing w:val="0"/>
          <w:sz w:val="27"/>
          <w:szCs w:val="27"/>
        </w:rPr>
        <w:fldChar w:fldCharType="separate"/>
      </w:r>
      <w:r>
        <w:rPr>
          <w:rStyle w:val="12"/>
          <w:rFonts w:hint="default" w:ascii="Arial" w:hAnsi="Arial" w:eastAsia="宋体" w:cs="Arial"/>
          <w:i w:val="0"/>
          <w:caps w:val="0"/>
          <w:color w:val="681DA8"/>
          <w:spacing w:val="0"/>
          <w:sz w:val="27"/>
          <w:szCs w:val="27"/>
        </w:rPr>
        <w:t>https://vertexaisearch.cloud.google.com/grounding-api-redirect/AUZIYQFTyTKvZiQ0UsAHIgGiGW3ZxHHRwKlVWW5h8aYfOSLAVf7Qv5y1rILd-ACTxma-lZzZAsFTA9sPu4KBfqEWTX2BqZlvHqBS1jY2OnYrAzZRU2o_ag==</w:t>
      </w:r>
      <w:r>
        <w:rPr>
          <w:rFonts w:hint="default" w:ascii="Arial" w:hAnsi="Arial" w:eastAsia="宋体" w:cs="Arial"/>
          <w:i w:val="0"/>
          <w:caps w:val="0"/>
          <w:color w:val="681DA8"/>
          <w:spacing w:val="0"/>
          <w:sz w:val="27"/>
          <w:szCs w:val="27"/>
        </w:rPr>
        <w:fldChar w:fldCharType="end"/>
      </w:r>
      <w:r>
        <w:rPr>
          <w:rFonts w:hint="default" w:ascii="Arial" w:hAnsi="Arial" w:eastAsia="宋体" w:cs="Arial"/>
          <w:i w:val="0"/>
          <w:caps w:val="0"/>
          <w:color w:val="000000"/>
          <w:spacing w:val="0"/>
          <w:sz w:val="27"/>
          <w:szCs w:val="27"/>
        </w:rPr>
        <w:t>.</w:t>
      </w:r>
    </w:p>
    <w:p>
      <w:pPr>
        <w:numPr>
          <w:ilvl w:val="0"/>
          <w:numId w:val="2"/>
        </w:numPr>
        <w:ind w:left="425" w:leftChars="0" w:hanging="425" w:firstLineChars="0"/>
        <w:rPr>
          <w:rFonts w:hint="eastAsia" w:ascii="Arial" w:hAnsi="Arial" w:eastAsia="宋体" w:cs="Arial"/>
          <w:i w:val="0"/>
          <w:caps w:val="0"/>
          <w:color w:val="000000"/>
          <w:spacing w:val="0"/>
          <w:sz w:val="27"/>
          <w:szCs w:val="27"/>
          <w:lang w:val="en-US" w:eastAsia="zh-CN"/>
        </w:rPr>
      </w:pPr>
      <w:r>
        <w:rPr>
          <w:rFonts w:ascii="Arial" w:hAnsi="Arial" w:eastAsia="宋体" w:cs="Arial"/>
          <w:i w:val="0"/>
          <w:caps w:val="0"/>
          <w:color w:val="681DA8"/>
          <w:spacing w:val="0"/>
          <w:sz w:val="27"/>
          <w:szCs w:val="27"/>
        </w:rPr>
        <w:fldChar w:fldCharType="begin"/>
      </w:r>
      <w:r>
        <w:rPr>
          <w:rFonts w:ascii="Arial" w:hAnsi="Arial" w:eastAsia="宋体" w:cs="Arial"/>
          <w:i w:val="0"/>
          <w:caps w:val="0"/>
          <w:color w:val="681DA8"/>
          <w:spacing w:val="0"/>
          <w:sz w:val="27"/>
          <w:szCs w:val="27"/>
        </w:rPr>
        <w:instrText xml:space="preserve"> HYPERLINK "https://vertexaisearch.cloud.google.com/grounding-api-redirect/AUZIYQEcg5zzBVruioP0IegFxLV00Wdw1-HTd4W_ymUIbDuFkGjE9jx8GFl8MzlZp7pPBBihSNPloDyI-VVzMoxQ_-6gFBVf_PTnE026VdtNe7aaNERCPgzPW7AeYg==" </w:instrText>
      </w:r>
      <w:r>
        <w:rPr>
          <w:rFonts w:ascii="Arial" w:hAnsi="Arial" w:eastAsia="宋体" w:cs="Arial"/>
          <w:i w:val="0"/>
          <w:caps w:val="0"/>
          <w:color w:val="681DA8"/>
          <w:spacing w:val="0"/>
          <w:sz w:val="27"/>
          <w:szCs w:val="27"/>
        </w:rPr>
        <w:fldChar w:fldCharType="separate"/>
      </w:r>
      <w:r>
        <w:rPr>
          <w:rStyle w:val="12"/>
          <w:rFonts w:hint="default" w:ascii="Arial" w:hAnsi="Arial" w:eastAsia="宋体" w:cs="Arial"/>
          <w:i w:val="0"/>
          <w:caps w:val="0"/>
          <w:color w:val="681DA8"/>
          <w:spacing w:val="0"/>
          <w:sz w:val="27"/>
          <w:szCs w:val="27"/>
        </w:rPr>
        <w:t>https://vertexaisearch.cloud.google.com/grounding-api-redirect/AUZIYQEcg5zzBVruioP0IegFxLV00Wdw1-HTd4W_ymUIbDuFkGjE9jx8GFl8MzlZp7pPBBihSNPloDyI-VVzMoxQ_-6gFBVf_PTnE026VdtNe7aaNERCPgzPW7AeYg==</w:t>
      </w:r>
      <w:r>
        <w:rPr>
          <w:rFonts w:hint="default" w:ascii="Arial" w:hAnsi="Arial" w:eastAsia="宋体" w:cs="Arial"/>
          <w:i w:val="0"/>
          <w:caps w:val="0"/>
          <w:color w:val="681DA8"/>
          <w:spacing w:val="0"/>
          <w:sz w:val="27"/>
          <w:szCs w:val="27"/>
        </w:rPr>
        <w:fldChar w:fldCharType="end"/>
      </w:r>
      <w:r>
        <w:rPr>
          <w:rFonts w:hint="default" w:ascii="Arial" w:hAnsi="Arial" w:eastAsia="宋体" w:cs="Arial"/>
          <w:i w:val="0"/>
          <w:caps w:val="0"/>
          <w:color w:val="000000"/>
          <w:spacing w:val="0"/>
          <w:sz w:val="27"/>
          <w:szCs w:val="27"/>
        </w:rPr>
        <w:t>.</w:t>
      </w:r>
    </w:p>
    <w:p>
      <w:pPr>
        <w:numPr>
          <w:ilvl w:val="0"/>
          <w:numId w:val="2"/>
        </w:numPr>
        <w:ind w:left="425" w:leftChars="0" w:hanging="425" w:firstLineChars="0"/>
        <w:rPr>
          <w:rFonts w:hint="eastAsia" w:ascii="Arial" w:hAnsi="Arial" w:eastAsia="宋体" w:cs="Arial"/>
          <w:i w:val="0"/>
          <w:caps w:val="0"/>
          <w:color w:val="000000"/>
          <w:spacing w:val="0"/>
          <w:sz w:val="27"/>
          <w:szCs w:val="27"/>
          <w:lang w:val="en-US" w:eastAsia="zh-CN"/>
        </w:rPr>
      </w:pPr>
      <w:r>
        <w:rPr>
          <w:rFonts w:ascii="Arial" w:hAnsi="Arial" w:eastAsia="宋体" w:cs="Arial"/>
          <w:i w:val="0"/>
          <w:caps w:val="0"/>
          <w:color w:val="000000"/>
          <w:spacing w:val="0"/>
          <w:sz w:val="27"/>
          <w:szCs w:val="27"/>
        </w:rPr>
        <w:t> </w:t>
      </w:r>
      <w:r>
        <w:rPr>
          <w:rFonts w:hint="default" w:ascii="Arial" w:hAnsi="Arial" w:eastAsia="宋体" w:cs="Arial"/>
          <w:i w:val="0"/>
          <w:caps w:val="0"/>
          <w:color w:val="681DA8"/>
          <w:spacing w:val="0"/>
          <w:sz w:val="27"/>
          <w:szCs w:val="27"/>
        </w:rPr>
        <w:fldChar w:fldCharType="begin"/>
      </w:r>
      <w:r>
        <w:rPr>
          <w:rFonts w:hint="default" w:ascii="Arial" w:hAnsi="Arial" w:eastAsia="宋体" w:cs="Arial"/>
          <w:i w:val="0"/>
          <w:caps w:val="0"/>
          <w:color w:val="681DA8"/>
          <w:spacing w:val="0"/>
          <w:sz w:val="27"/>
          <w:szCs w:val="27"/>
        </w:rPr>
        <w:instrText xml:space="preserve"> HYPERLINK "https://vertexaisearch.cloud.google.com/grounding-api-redirect/AUZIYQHKDKdqDNSwI4-1m4VofWrhLupojxdYc1Xx9OyExSpBxaPIRA3BdZM72ecn3zLpmhvBhGLk2bV9jFlSVS4DdXeVJAJOmfjQRSLvC7MyjbFnPcF415wBO3uPDDQZGO1v" </w:instrText>
      </w:r>
      <w:r>
        <w:rPr>
          <w:rFonts w:hint="default" w:ascii="Arial" w:hAnsi="Arial" w:eastAsia="宋体" w:cs="Arial"/>
          <w:i w:val="0"/>
          <w:caps w:val="0"/>
          <w:color w:val="681DA8"/>
          <w:spacing w:val="0"/>
          <w:sz w:val="27"/>
          <w:szCs w:val="27"/>
        </w:rPr>
        <w:fldChar w:fldCharType="separate"/>
      </w:r>
      <w:r>
        <w:rPr>
          <w:rStyle w:val="12"/>
          <w:rFonts w:hint="default" w:ascii="Arial" w:hAnsi="Arial" w:eastAsia="宋体" w:cs="Arial"/>
          <w:i w:val="0"/>
          <w:caps w:val="0"/>
          <w:color w:val="681DA8"/>
          <w:spacing w:val="0"/>
          <w:sz w:val="27"/>
          <w:szCs w:val="27"/>
        </w:rPr>
        <w:t>https://vertexaisearch.cloud.google.com/grounding-api-redirect/AUZIYQHKDKdqDNSwI4-1m4VofWrhLupojxdYc1Xx9OyExSpBxaPIRA3BdZM72ecn3zLpmhvBhGLk2bV9jFlSVS4DdXeVJAJOmfjQRSLvC7MyjbFnPcF415wBO3uPDDQZGO1v</w:t>
      </w:r>
      <w:r>
        <w:rPr>
          <w:rFonts w:hint="default" w:ascii="Arial" w:hAnsi="Arial" w:eastAsia="宋体" w:cs="Arial"/>
          <w:i w:val="0"/>
          <w:caps w:val="0"/>
          <w:color w:val="681DA8"/>
          <w:spacing w:val="0"/>
          <w:sz w:val="27"/>
          <w:szCs w:val="27"/>
        </w:rPr>
        <w:fldChar w:fldCharType="end"/>
      </w:r>
      <w:r>
        <w:rPr>
          <w:rFonts w:hint="default" w:ascii="Arial" w:hAnsi="Arial" w:eastAsia="宋体" w:cs="Arial"/>
          <w:i w:val="0"/>
          <w:caps w:val="0"/>
          <w:color w:val="000000"/>
          <w:spacing w:val="0"/>
          <w:sz w:val="27"/>
          <w:szCs w:val="27"/>
        </w:rPr>
        <w:t>.</w:t>
      </w:r>
    </w:p>
    <w:p>
      <w:pPr>
        <w:numPr>
          <w:ilvl w:val="0"/>
          <w:numId w:val="2"/>
        </w:numPr>
        <w:ind w:left="425" w:leftChars="0" w:hanging="425" w:firstLineChars="0"/>
        <w:rPr>
          <w:rFonts w:hint="eastAsia" w:ascii="Arial" w:hAnsi="Arial" w:eastAsia="宋体" w:cs="Arial"/>
          <w:i w:val="0"/>
          <w:caps w:val="0"/>
          <w:color w:val="000000"/>
          <w:spacing w:val="0"/>
          <w:sz w:val="27"/>
          <w:szCs w:val="27"/>
          <w:lang w:val="en-US" w:eastAsia="zh-CN"/>
        </w:rPr>
      </w:pPr>
      <w:r>
        <w:rPr>
          <w:rFonts w:ascii="Arial" w:hAnsi="Arial" w:eastAsia="宋体" w:cs="Arial"/>
          <w:i w:val="0"/>
          <w:caps w:val="0"/>
          <w:color w:val="681DA8"/>
          <w:spacing w:val="0"/>
          <w:sz w:val="27"/>
          <w:szCs w:val="27"/>
        </w:rPr>
        <w:fldChar w:fldCharType="begin"/>
      </w:r>
      <w:r>
        <w:rPr>
          <w:rFonts w:ascii="Arial" w:hAnsi="Arial" w:eastAsia="宋体" w:cs="Arial"/>
          <w:i w:val="0"/>
          <w:caps w:val="0"/>
          <w:color w:val="681DA8"/>
          <w:spacing w:val="0"/>
          <w:sz w:val="27"/>
          <w:szCs w:val="27"/>
        </w:rPr>
        <w:instrText xml:space="preserve"> HYPERLINK "https://vertexaisearch.cloud.google.com/grounding-api-redirect/AUZIYQGY7FttpBdGeFMgtanEsLgqN7vDqm79UuNp-A_dT6QkFGWIwDVmz4CDGaw6m2aFlSVToyfVyusFy134Yami_BEOoq3t2YRDHAmP0QAdp2kEV17nn4Pl9HGVcJ1-nMNdK6LZVrDMAKc=" </w:instrText>
      </w:r>
      <w:r>
        <w:rPr>
          <w:rFonts w:ascii="Arial" w:hAnsi="Arial" w:eastAsia="宋体" w:cs="Arial"/>
          <w:i w:val="0"/>
          <w:caps w:val="0"/>
          <w:color w:val="681DA8"/>
          <w:spacing w:val="0"/>
          <w:sz w:val="27"/>
          <w:szCs w:val="27"/>
        </w:rPr>
        <w:fldChar w:fldCharType="separate"/>
      </w:r>
      <w:r>
        <w:rPr>
          <w:rStyle w:val="12"/>
          <w:rFonts w:hint="default" w:ascii="Arial" w:hAnsi="Arial" w:eastAsia="宋体" w:cs="Arial"/>
          <w:i w:val="0"/>
          <w:caps w:val="0"/>
          <w:color w:val="681DA8"/>
          <w:spacing w:val="0"/>
          <w:sz w:val="27"/>
          <w:szCs w:val="27"/>
        </w:rPr>
        <w:t>https://vertexaisearch.cloud.google.com/grounding-api-redirect/AUZIYQGY7FttpBdGeFMgtanEsLgqN7vDqm79UuNp-A_dT6QkFGWIwDVmz4CDGaw6m2aFlSVToyfVyusFy134Yami_BEOoq3t2YRDHAmP0QAdp2kEV17nn4Pl9HGVcJ1-nMNdK6LZVrDMAKc=</w:t>
      </w:r>
      <w:r>
        <w:rPr>
          <w:rFonts w:hint="default" w:ascii="Arial" w:hAnsi="Arial" w:eastAsia="宋体" w:cs="Arial"/>
          <w:i w:val="0"/>
          <w:caps w:val="0"/>
          <w:color w:val="681DA8"/>
          <w:spacing w:val="0"/>
          <w:sz w:val="27"/>
          <w:szCs w:val="27"/>
        </w:rPr>
        <w:fldChar w:fldCharType="end"/>
      </w:r>
      <w:r>
        <w:rPr>
          <w:rFonts w:hint="default" w:ascii="Arial" w:hAnsi="Arial" w:eastAsia="宋体" w:cs="Arial"/>
          <w:i w:val="0"/>
          <w:caps w:val="0"/>
          <w:color w:val="000000"/>
          <w:spacing w:val="0"/>
          <w:sz w:val="27"/>
          <w:szCs w:val="27"/>
        </w:rPr>
        <w:t>.</w:t>
      </w:r>
    </w:p>
    <w:p>
      <w:pPr>
        <w:numPr>
          <w:ilvl w:val="0"/>
          <w:numId w:val="2"/>
        </w:numPr>
        <w:ind w:left="425" w:leftChars="0" w:hanging="425" w:firstLineChars="0"/>
        <w:rPr>
          <w:rFonts w:hint="eastAsia" w:ascii="Arial" w:hAnsi="Arial" w:eastAsia="宋体" w:cs="Arial"/>
          <w:i w:val="0"/>
          <w:caps w:val="0"/>
          <w:color w:val="000000"/>
          <w:spacing w:val="0"/>
          <w:sz w:val="27"/>
          <w:szCs w:val="27"/>
          <w:lang w:val="en-US" w:eastAsia="zh-CN"/>
        </w:rPr>
      </w:pPr>
      <w:r>
        <w:rPr>
          <w:rFonts w:ascii="Arial" w:hAnsi="Arial" w:eastAsia="宋体" w:cs="Arial"/>
          <w:i w:val="0"/>
          <w:caps w:val="0"/>
          <w:color w:val="681DA8"/>
          <w:spacing w:val="0"/>
          <w:sz w:val="27"/>
          <w:szCs w:val="27"/>
        </w:rPr>
        <w:fldChar w:fldCharType="begin"/>
      </w:r>
      <w:r>
        <w:rPr>
          <w:rFonts w:ascii="Arial" w:hAnsi="Arial" w:eastAsia="宋体" w:cs="Arial"/>
          <w:i w:val="0"/>
          <w:caps w:val="0"/>
          <w:color w:val="681DA8"/>
          <w:spacing w:val="0"/>
          <w:sz w:val="27"/>
          <w:szCs w:val="27"/>
        </w:rPr>
        <w:instrText xml:space="preserve"> HYPERLINK "https://vertexaisearch.cloud.google.com/grounding-api-redirect/AUZIYQFwUcevd6V7DHTC4SA8cpkOtvJgAhp7EQldEh_6tBmdVN123abZAvO-Nvv3_XlHCy3mMzMwJuAOnp33IVP_DUKiF3fNwJ6S2Hm2lesvAmOQwQgwMW-JUaXz5xvyrmraKPL37C7rw3NuFNvqvninCOior0qbOBcQjeJ48aUxKgL2smx2a8GJ0zhyS8TlKDRNAjE=" </w:instrText>
      </w:r>
      <w:r>
        <w:rPr>
          <w:rFonts w:ascii="Arial" w:hAnsi="Arial" w:eastAsia="宋体" w:cs="Arial"/>
          <w:i w:val="0"/>
          <w:caps w:val="0"/>
          <w:color w:val="681DA8"/>
          <w:spacing w:val="0"/>
          <w:sz w:val="27"/>
          <w:szCs w:val="27"/>
        </w:rPr>
        <w:fldChar w:fldCharType="separate"/>
      </w:r>
      <w:r>
        <w:rPr>
          <w:rStyle w:val="12"/>
          <w:rFonts w:hint="default" w:ascii="Arial" w:hAnsi="Arial" w:eastAsia="宋体" w:cs="Arial"/>
          <w:i w:val="0"/>
          <w:caps w:val="0"/>
          <w:color w:val="681DA8"/>
          <w:spacing w:val="0"/>
          <w:sz w:val="27"/>
          <w:szCs w:val="27"/>
        </w:rPr>
        <w:t>https://vertexaisearch.cloud.google.com/grounding-api-redirect/AUZIYQFwUcevd6V7DHTC4SA8cpkOtvJgAhp7EQldEh_6tBmdVN123abZAvO-Nvv3_XlHCy3mMzMwJuAOnp33IVP_DUKiF3fNwJ6S2Hm2lesvAmOQwQgwMW-JUaXz5xvyrmraKPL37C7rw3NuFNvqvninCOior0qbOBcQjeJ48aUxKgL2smx2a8GJ0zhyS8TlKDRNAjE=</w:t>
      </w:r>
      <w:r>
        <w:rPr>
          <w:rFonts w:hint="default" w:ascii="Arial" w:hAnsi="Arial" w:eastAsia="宋体" w:cs="Arial"/>
          <w:i w:val="0"/>
          <w:caps w:val="0"/>
          <w:color w:val="681DA8"/>
          <w:spacing w:val="0"/>
          <w:sz w:val="27"/>
          <w:szCs w:val="27"/>
        </w:rPr>
        <w:fldChar w:fldCharType="end"/>
      </w:r>
      <w:r>
        <w:rPr>
          <w:rFonts w:hint="default" w:ascii="Arial" w:hAnsi="Arial" w:eastAsia="宋体" w:cs="Arial"/>
          <w:i w:val="0"/>
          <w:caps w:val="0"/>
          <w:color w:val="000000"/>
          <w:spacing w:val="0"/>
          <w:sz w:val="27"/>
          <w:szCs w:val="27"/>
        </w:rPr>
        <w:t>.</w:t>
      </w:r>
    </w:p>
    <w:p>
      <w:pPr>
        <w:numPr>
          <w:ilvl w:val="0"/>
          <w:numId w:val="2"/>
        </w:numPr>
        <w:ind w:left="425" w:leftChars="0" w:hanging="425" w:firstLineChars="0"/>
        <w:rPr>
          <w:rFonts w:hint="eastAsia" w:ascii="Arial" w:hAnsi="Arial" w:eastAsia="宋体" w:cs="Arial"/>
          <w:i w:val="0"/>
          <w:caps w:val="0"/>
          <w:color w:val="000000"/>
          <w:spacing w:val="0"/>
          <w:sz w:val="27"/>
          <w:szCs w:val="27"/>
          <w:lang w:val="en-US" w:eastAsia="zh-CN"/>
        </w:rPr>
      </w:pPr>
      <w:r>
        <w:rPr>
          <w:rFonts w:ascii="Arial" w:hAnsi="Arial" w:eastAsia="宋体" w:cs="Arial"/>
          <w:i w:val="0"/>
          <w:caps w:val="0"/>
          <w:color w:val="000000"/>
          <w:spacing w:val="0"/>
          <w:sz w:val="27"/>
          <w:szCs w:val="27"/>
        </w:rPr>
        <w:t> </w:t>
      </w:r>
      <w:r>
        <w:rPr>
          <w:rFonts w:hint="default" w:ascii="Arial" w:hAnsi="Arial" w:eastAsia="宋体" w:cs="Arial"/>
          <w:i w:val="0"/>
          <w:caps w:val="0"/>
          <w:color w:val="681DA8"/>
          <w:spacing w:val="0"/>
          <w:sz w:val="27"/>
          <w:szCs w:val="27"/>
        </w:rPr>
        <w:fldChar w:fldCharType="begin"/>
      </w:r>
      <w:r>
        <w:rPr>
          <w:rFonts w:hint="default" w:ascii="Arial" w:hAnsi="Arial" w:eastAsia="宋体" w:cs="Arial"/>
          <w:i w:val="0"/>
          <w:caps w:val="0"/>
          <w:color w:val="681DA8"/>
          <w:spacing w:val="0"/>
          <w:sz w:val="27"/>
          <w:szCs w:val="27"/>
        </w:rPr>
        <w:instrText xml:space="preserve"> HYPERLINK "https://vertexaisearch.cloud.google.com/grounding-api-redirect/AUZIYQHg_m6rpcormlopdoDu0zf-YWT36wMB0Rlg7j8Xk2tpHkamFs8kuCE4QNLzw2tOIO-zYssNgPtmtYV_C-hedOsv_MhTTurElAGlleGGAXMIZfiXGYxufJl3t4P4WMasPUVtsSuL_HlAL2WEGr1O9W0=" </w:instrText>
      </w:r>
      <w:r>
        <w:rPr>
          <w:rFonts w:hint="default" w:ascii="Arial" w:hAnsi="Arial" w:eastAsia="宋体" w:cs="Arial"/>
          <w:i w:val="0"/>
          <w:caps w:val="0"/>
          <w:color w:val="681DA8"/>
          <w:spacing w:val="0"/>
          <w:sz w:val="27"/>
          <w:szCs w:val="27"/>
        </w:rPr>
        <w:fldChar w:fldCharType="separate"/>
      </w:r>
      <w:r>
        <w:rPr>
          <w:rStyle w:val="12"/>
          <w:rFonts w:hint="default" w:ascii="Arial" w:hAnsi="Arial" w:eastAsia="宋体" w:cs="Arial"/>
          <w:i w:val="0"/>
          <w:caps w:val="0"/>
          <w:color w:val="681DA8"/>
          <w:spacing w:val="0"/>
          <w:sz w:val="27"/>
          <w:szCs w:val="27"/>
        </w:rPr>
        <w:t>https://vertexaisearch.cloud.google.com/grounding-api-redirect/AUZIYQHg_m6rpcormlopdoDu0zf-YWT36wMB0Rlg7j8Xk2tpHkamFs8kuCE4QNLzw2tOIO-zYssNgPtmtYV_C-hedOsv_MhTTurElAGlleGGAXMIZfiXGYxufJl3t4P4WMasPUVtsSuL_HlAL2WEGr1O9W0=</w:t>
      </w:r>
      <w:r>
        <w:rPr>
          <w:rFonts w:hint="default" w:ascii="Arial" w:hAnsi="Arial" w:eastAsia="宋体" w:cs="Arial"/>
          <w:i w:val="0"/>
          <w:caps w:val="0"/>
          <w:color w:val="681DA8"/>
          <w:spacing w:val="0"/>
          <w:sz w:val="27"/>
          <w:szCs w:val="27"/>
        </w:rPr>
        <w:fldChar w:fldCharType="end"/>
      </w:r>
      <w:r>
        <w:rPr>
          <w:rFonts w:hint="default" w:ascii="Arial" w:hAnsi="Arial" w:eastAsia="宋体" w:cs="Arial"/>
          <w:i w:val="0"/>
          <w:caps w:val="0"/>
          <w:color w:val="000000"/>
          <w:spacing w:val="0"/>
          <w:sz w:val="27"/>
          <w:szCs w:val="27"/>
        </w:rPr>
        <w: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libri Light">
    <w:panose1 w:val="020F0302020204030204"/>
    <w:charset w:val="00"/>
    <w:family w:val="auto"/>
    <w:pitch w:val="default"/>
    <w:sig w:usb0="E4002EFF" w:usb1="C200247B" w:usb2="00000009" w:usb3="00000000" w:csb0="200001FF" w:csb1="00000000"/>
  </w:font>
  <w:font w:name="Segoe UI Emoji">
    <w:panose1 w:val="020B0502040204020203"/>
    <w:charset w:val="00"/>
    <w:family w:val="auto"/>
    <w:pitch w:val="default"/>
    <w:sig w:usb0="00000001" w:usb1="02000000" w:usb2="08000000" w:usb3="00000000" w:csb0="00000001" w:csb1="00000000"/>
  </w:font>
  <w:font w:name="Arial">
    <w:panose1 w:val="020B0604020202020204"/>
    <w:charset w:val="00"/>
    <w:family w:val="auto"/>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DA0CDAF0"/>
    <w:multiLevelType w:val="singleLevel"/>
    <w:tmpl w:val="DA0CDAF0"/>
    <w:lvl w:ilvl="0" w:tentative="0">
      <w:start w:val="1"/>
      <w:numFmt w:val="decimal"/>
      <w:lvlText w:val="%1."/>
      <w:lvlJc w:val="left"/>
      <w:pPr>
        <w:ind w:left="425" w:hanging="425"/>
      </w:pPr>
      <w:rPr>
        <w:rFonts w:hint="default"/>
      </w:rPr>
    </w:lvl>
  </w:abstractNum>
  <w:abstractNum w:abstractNumId="1">
    <w:nsid w:val="3965DCC3"/>
    <w:multiLevelType w:val="singleLevel"/>
    <w:tmpl w:val="3965DCC3"/>
    <w:lvl w:ilvl="0" w:tentative="0">
      <w:start w:val="1"/>
      <w:numFmt w:val="bullet"/>
      <w:lvlText w:val=""/>
      <w:lvlJc w:val="left"/>
      <w:pPr>
        <w:ind w:left="420" w:hanging="42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CF426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kern w:val="0"/>
      <w:sz w:val="24"/>
      <w:szCs w:val="24"/>
      <w:lang w:val="en-US" w:eastAsia="zh-CN" w:bidi="ar"/>
    </w:rPr>
  </w:style>
  <w:style w:type="character" w:default="1" w:styleId="9">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6">
    <w:name w:val="Normal (Web)"/>
    <w:basedOn w:val="1"/>
    <w:uiPriority w:val="0"/>
    <w:rPr>
      <w:sz w:val="24"/>
    </w:rPr>
  </w:style>
  <w:style w:type="table" w:styleId="8">
    <w:name w:val="Table Grid"/>
    <w:basedOn w:val="7"/>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Strong"/>
    <w:basedOn w:val="9"/>
    <w:qFormat/>
    <w:uiPriority w:val="0"/>
    <w:rPr>
      <w:b/>
    </w:rPr>
  </w:style>
  <w:style w:type="character" w:styleId="11">
    <w:name w:val="Emphasis"/>
    <w:basedOn w:val="9"/>
    <w:qFormat/>
    <w:uiPriority w:val="0"/>
    <w:rPr>
      <w:i/>
    </w:rPr>
  </w:style>
  <w:style w:type="character" w:styleId="12">
    <w:name w:val="Hyperlink"/>
    <w:basedOn w:val="9"/>
    <w:uiPriority w:val="0"/>
    <w:rPr>
      <w:color w:val="0000FF"/>
      <w:u w:val="singl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73</TotalTime>
  <ScaleCrop>false</ScaleCrop>
  <LinksUpToDate>false</LinksUpToDate>
  <CharactersWithSpaces>0</CharactersWithSpaces>
  <Application>WPS Office_11.1.0.10009_F1E327BC-269C-435d-A152-05C5408002CA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2026-05-26T05:35:18Z</dcterms:created>
  <dc:creator>71041</dc:creator>
  <cp:lastModifiedBy>CC</cp:lastModifiedBy>
  <dcterms:modified xsi:type="dcterms:W3CDTF">2026-05-26T06:48:53Z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2052-11.1.0.10009</vt:lpwstr>
  </property>
</Properties>
</file>