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0588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 w:val="0"/>
          <w:color w:val="1F1F1F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 w:val="0"/>
        </w:rPr>
        <w:t xml:space="preserve">Core Talent Demand Analysis for the Integrated Circuit Industry in </w:t>
      </w:r>
      <w:r>
        <w:rPr>
          <w:rFonts w:hint="default" w:ascii="Times New Roman" w:hAnsi="Times New Roman" w:eastAsia="sans-serif" w:cs="Times New Roman"/>
          <w:b/>
          <w:bCs w:val="0"/>
          <w:color w:val="1F1F1F"/>
          <w:sz w:val="28"/>
          <w:szCs w:val="28"/>
        </w:rPr>
        <w:t>Guangdong Province</w:t>
      </w:r>
    </w:p>
    <w:p w14:paraId="72E30D98">
      <w:pPr>
        <w:pStyle w:val="3"/>
        <w:bidi w:val="0"/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I. Introduction</w:t>
      </w:r>
    </w:p>
    <w:p w14:paraId="4A9461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As the "Third Pole" of China’s integrated circuit (IC) industry, Guangdong Province has established a powerful cluster centered around Shenzhen, Guangzhou, and Zhuhai. The regional focus is currently shifting toward overcoming "bottleneck" (ka bo zi) technologies and achieving industrial self-control. This strategic pivot is directly driving a structural evolution in talent demand: moving away from general technical workers toward multi-disciplinary professionals specialized in advanced manufacturing, emerging applications, and digital transformation.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71198D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II. Analysis of Key Talent Categories</w:t>
      </w:r>
    </w:p>
    <w:p w14:paraId="5E071A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1. Emerging Industries: Advanced Manufacturing and R&amp;D Talent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The explosive growth of sectors like New Energy Vehicles (NEVs), 5G, and AI computing has made R&amp;D and manufacturing talent the most critical assets.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704F572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17B9D5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Advanced Process Talent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As technology nodes move toward 5nm, 3nm, and even 2nm, the demand for Process/Yield Engineers (PE) has reached a peak, accounting for the highest demand share at 3.3%. These experts are essential for optimizing lithography and etching in mass production.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424A49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792D1D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center"/>
      </w:pPr>
      <w:r>
        <w:drawing>
          <wp:inline distT="0" distB="0" distL="114300" distR="114300">
            <wp:extent cx="4343400" cy="17830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2509" r="1499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DF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/>
        </w:rPr>
      </w:pPr>
    </w:p>
    <w:p w14:paraId="102193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High-End Design Talent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Analog IC Design and Digital Front-end Engineers are the core drivers of innovation. Specifically for AI chips, Algorithm Engineers are needed to optimize neural network models through hardware-friendly methods like quantization and pruning.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45EC09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6AF8AD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2. Future Industries: Embodied Intelligence and Quantum Chip Engineers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Future-oriented layouts like humanoid robotics and quantum computing require "forward-looking" skill sets.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3DCD09A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407F93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AIoT and Embodied Intelligence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The development of Industrial IoT (IIoT) drives the need for low-power, high-integration AIoT chips. Engineers in this field must balance hardware computing power with software algorithms to achieve synergy between "brain" and "body".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63CE01A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53ED9F4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Chiplet and Advanced Architecture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As Moore’s Law slows, Chiplet and "Computing-in-Memory" technologies are revolutionizing chip design. Architects must possess the ability to break traditional von Neumann bottlenecks to provide solutions for data centers and AI.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224791D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1ED043A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3. Traditional Industries: Digital Transformation and Power Semiconductors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Traditional manufacturing is undergoing a digital shift, creating a surge in demand for embedded systems and third-generation semiconductor applications.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33E27DC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713CB3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Digital Transformation Specialists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Demand for Embedded Software Development and Driver Development remains stable (around 2.1%), as these professionals integrate IC technology into traditional equipment for connectivity and intelligence.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457852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01670D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center"/>
      </w:pPr>
      <w:r>
        <w:drawing>
          <wp:inline distT="0" distB="0" distL="114300" distR="114300">
            <wp:extent cx="4289425" cy="17830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l="3196" r="15330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90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/>
        </w:rPr>
      </w:pPr>
    </w:p>
    <w:p w14:paraId="1588BE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517868F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Third-Generation Semiconductors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The penetration of Silicon Carbide (SiC) and Gallium Nitride (GaN) in NEVs and fast charging requires Material R&amp;D engineers with experience in high thermal stability and low-loss materials.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23005D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428CF33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III. Core Skills and Qualifications</w:t>
      </w:r>
    </w:p>
    <w:p w14:paraId="20C8674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According to industry research, companies now emphasize a balance between "Hard Tech" and "Soft Skills":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tbl>
      <w:tblPr>
        <w:tblStyle w:val="6"/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6222"/>
      </w:tblGrid>
      <w:tr w14:paraId="0BCDD3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5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979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/>
                <w:i w:val="0"/>
                <w:color w:val="08090C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Dimension</w:t>
            </w:r>
          </w:p>
        </w:tc>
        <w:tc>
          <w:tcPr>
            <w:tcW w:w="6177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F582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/>
                <w:i w:val="0"/>
                <w:color w:val="08090C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Specific Requirements &amp; Description</w:t>
            </w:r>
          </w:p>
        </w:tc>
      </w:tr>
      <w:tr w14:paraId="756976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C83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Professional Knowledge</w:t>
            </w:r>
          </w:p>
        </w:tc>
        <w:tc>
          <w:tcPr>
            <w:tcW w:w="6177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B874">
            <w:pPr>
              <w:pStyle w:val="5"/>
              <w:keepNext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>Must have a solid foundation in Electronic Engineering, Microelectronics, Physics, and Math. Proficiency in EDA tools like Cadence and Synopsys is mandatory.</w:t>
            </w: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</w:p>
        </w:tc>
      </w:tr>
      <w:tr w14:paraId="708E60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AB8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Technical Depth</w:t>
            </w:r>
          </w:p>
        </w:tc>
        <w:tc>
          <w:tcPr>
            <w:tcW w:w="6177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5A19">
            <w:pPr>
              <w:pStyle w:val="5"/>
              <w:keepNext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>RF Engineers must master high-frequency and miniaturized designs; Verification Engineers must be proficient in UVM architectures and FPGA prototyping.</w:t>
            </w: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</w:p>
        </w:tc>
      </w:tr>
      <w:tr w14:paraId="4AA68F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10B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Multi-disciplinary</w:t>
            </w:r>
          </w:p>
        </w:tc>
        <w:tc>
          <w:tcPr>
            <w:tcW w:w="6177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D340">
            <w:pPr>
              <w:pStyle w:val="5"/>
              <w:keepNext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>With the rise of SoC (System-on-Chip) complexity, "T-shaped" talent with knowledge in Electronics, CS, and Software is highly preferred.</w:t>
            </w: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</w:p>
        </w:tc>
      </w:tr>
      <w:tr w14:paraId="22D68A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654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Collaboration</w:t>
            </w:r>
          </w:p>
        </w:tc>
        <w:tc>
          <w:tcPr>
            <w:tcW w:w="6177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3A4F">
            <w:pPr>
              <w:pStyle w:val="5"/>
              <w:keepNext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>The ability to communicate effectively across the "Design-Manufacturing-Testing" chain is vital to ensure design accuracy.</w:t>
            </w:r>
            <w:r>
              <w:rPr>
                <w:rFonts w:hint="default" w:ascii="Times New Roman" w:hAnsi="Times New Roman" w:eastAsia="sans-serif" w:cs="Times New Roman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6E7BC6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6DA039A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IV. Professional Experience and Talent Distribution</w:t>
      </w:r>
    </w:p>
    <w:p w14:paraId="753C31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1. Experience Preference: Practice Over Theory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Recruitment shows a clear "action-oriented" bias: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1ECCD2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7DC55A2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Project Experience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Companies prefer engineers with actual project history who can immediately solve on-site problems like yield improvement or failure analysis.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306E9E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1A8918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Mid-sized Firms are Most Active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Companies with 100-499 employees are the primary recruiters (25.7%), reflecting their rapid expansion phase and urgent need for "plug-and-play" talent.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  <w:bookmarkStart w:id="0" w:name="_GoBack"/>
      <w:bookmarkEnd w:id="0"/>
    </w:p>
    <w:p w14:paraId="195AC1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drawing>
          <wp:inline distT="0" distB="0" distL="114300" distR="114300">
            <wp:extent cx="4826000" cy="3114040"/>
            <wp:effectExtent l="4445" t="4445" r="8255" b="5715"/>
            <wp:docPr id="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191EA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7F8CF98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Talent Sources: Internal Domination with Cross-sector Synergy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While the industry primarily relies on internal talent flow, there is a significant influx from the Machinery, Internet, and Computer Software sectors as skills become more transferable.</w:t>
      </w:r>
    </w:p>
    <w:p w14:paraId="43699E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2F20B37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Regional Characteristics: Shenzhen’s "Oligopoly" Effect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Within Guangdong, Shenzhen’s talent aggregation is unrivaled. Its talent flow intention share (</w:t>
      </w:r>
      <w:r>
        <w:rPr>
          <w:rFonts w:hint="eastAsia" w:ascii="Times New Roman" w:hAnsi="Times New Roman" w:eastAsia="宋体" w:cs="Times New Roman"/>
          <w:color w:val="1F1F1F"/>
          <w:sz w:val="24"/>
          <w:szCs w:val="24"/>
          <w:lang w:val="en-US" w:eastAsia="zh-CN"/>
        </w:rPr>
        <w:t>23.45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%) significantly surpasses other hubs. As a global electronic manufacturing center, Shenzhen leverages giants like Huawei and ZTE to form a complete talent supply chain from design to packaging.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49677A8C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06A2E34F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jc w:val="center"/>
        <w:rPr>
          <w:rFonts w:hint="eastAsia" w:ascii="Times New Roman" w:hAnsi="Times New Roman" w:eastAsia="宋体" w:cs="Times New Roman"/>
          <w:color w:val="1F1F1F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1F1F1F"/>
          <w:sz w:val="24"/>
          <w:szCs w:val="24"/>
          <w:lang w:eastAsia="zh-CN"/>
        </w:rPr>
        <w:drawing>
          <wp:inline distT="0" distB="0" distL="114300" distR="114300">
            <wp:extent cx="4392930" cy="2059305"/>
            <wp:effectExtent l="0" t="0" r="1270" b="10795"/>
            <wp:docPr id="5" name="图片 5" descr="84cb0caf6e78f48dc7ea5cf63863f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4cb0caf6e78f48dc7ea5cf63863f6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309C"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69F749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5187889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V. Conclusion and Recommendations</w:t>
      </w:r>
    </w:p>
    <w:p w14:paraId="330460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Guangdong’s IC industry currently faces a pattern of "Manufacturing taking the lead while Design consolidates". To meet future challenges, it is suggested to: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3DB71B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4DD1AD7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Strengthen School-Enterprise Cooperation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Universities should co-create practical courses with enterprises to reduce the "adjustment period" for graduates.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5FBBC2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620619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Establish Cross-field Training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Encourage existing engineers to learn AI chip algorithms and quantum computing to foster composite talent.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7A2B3B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1E2A0D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Optimize Talent Retention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>: Leverage the industrial cluster advantage of Tier-1 cities to attract overseas and high-skilled talent through specialized funds and livability policies.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t xml:space="preserve"> </w:t>
      </w:r>
    </w:p>
    <w:p w14:paraId="164D3AA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</w:pPr>
    </w:p>
    <w:p w14:paraId="778CA31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</w:rPr>
        <w:t>References</w:t>
      </w:r>
    </w:p>
    <w:p w14:paraId="307590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Talent Supply and Demand Report for the Integrated Circuit Industry</w:t>
      </w:r>
      <w:r>
        <w:rPr>
          <w:rFonts w:hint="default" w:ascii="Times New Roman" w:hAnsi="Times New Roman" w:eastAsia="sans-serif" w:cs="Times New Roman"/>
          <w:color w:val="1F1F1F"/>
        </w:rPr>
        <w:t xml:space="preserve">, Liepin Big Data (Published February 2025). </w:t>
      </w:r>
    </w:p>
    <w:p w14:paraId="062836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7FFDB7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China Business Industry Research Institute</w:t>
      </w:r>
      <w:r>
        <w:rPr>
          <w:rFonts w:hint="default" w:ascii="Times New Roman" w:hAnsi="Times New Roman" w:eastAsia="sans-serif" w:cs="Times New Roman"/>
          <w:color w:val="1F1F1F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</w:rPr>
        <w:t>2025–2030 China Integrated Circuit Market Research and Development Trend Forecast Report</w:t>
      </w:r>
      <w:r>
        <w:rPr>
          <w:rFonts w:hint="default" w:ascii="Times New Roman" w:hAnsi="Times New Roman" w:eastAsia="sans-serif" w:cs="Times New Roman"/>
          <w:color w:val="1F1F1F"/>
        </w:rPr>
        <w:t xml:space="preserve">. </w:t>
      </w:r>
    </w:p>
    <w:p w14:paraId="379DDEA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697E021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China Research Institute (Chinasir)</w:t>
      </w:r>
      <w:r>
        <w:rPr>
          <w:rFonts w:hint="default" w:ascii="Times New Roman" w:hAnsi="Times New Roman" w:eastAsia="sans-serif" w:cs="Times New Roman"/>
          <w:color w:val="1F1F1F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</w:rPr>
        <w:t>Statistical Data on China's Integrated Circuit Market Scale in 2024</w:t>
      </w:r>
      <w:r>
        <w:rPr>
          <w:rFonts w:hint="default" w:ascii="Times New Roman" w:hAnsi="Times New Roman" w:eastAsia="sans-serif" w:cs="Times New Roman"/>
          <w:color w:val="1F1F1F"/>
        </w:rPr>
        <w:t xml:space="preserve">. </w:t>
      </w:r>
    </w:p>
    <w:p w14:paraId="048D5B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30515D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National Policy Documents:</w:t>
      </w:r>
    </w:p>
    <w:p w14:paraId="31ACF22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i/>
          <w:iCs/>
          <w:color w:val="1F1F1F"/>
        </w:rPr>
      </w:pPr>
    </w:p>
    <w:p w14:paraId="514A306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</w:rPr>
        <w:t>Decision of the Central Committee of the Communist Party of China on Further Comprehensively Deepening Reform and Advancing Chinese-style Modernization</w:t>
      </w:r>
      <w:r>
        <w:rPr>
          <w:rFonts w:hint="default" w:ascii="Times New Roman" w:hAnsi="Times New Roman" w:eastAsia="sans-serif" w:cs="Times New Roman"/>
          <w:color w:val="1F1F1F"/>
        </w:rPr>
        <w:t xml:space="preserve"> (July 2024). </w:t>
      </w:r>
    </w:p>
    <w:p w14:paraId="05BB5E4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i/>
          <w:iCs/>
          <w:color w:val="1F1F1F"/>
        </w:rPr>
      </w:pPr>
    </w:p>
    <w:p w14:paraId="6D2E3BD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</w:rPr>
        <w:t>Action Plan for the Construction of Information Technology Standards (2024–2027)</w:t>
      </w:r>
      <w:r>
        <w:rPr>
          <w:rFonts w:hint="default" w:ascii="Times New Roman" w:hAnsi="Times New Roman" w:eastAsia="sans-serif" w:cs="Times New Roman"/>
          <w:color w:val="1F1F1F"/>
        </w:rPr>
        <w:t xml:space="preserve"> (May 2024). </w:t>
      </w:r>
    </w:p>
    <w:p w14:paraId="1C793DA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i/>
          <w:iCs/>
          <w:color w:val="1F1F1F"/>
        </w:rPr>
      </w:pPr>
    </w:p>
    <w:p w14:paraId="5F7EA9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</w:rPr>
        <w:t>Guidelines for the Construction of the National Automotive Chip Standard System</w:t>
      </w:r>
      <w:r>
        <w:rPr>
          <w:rFonts w:hint="default" w:ascii="Times New Roman" w:hAnsi="Times New Roman" w:eastAsia="sans-serif" w:cs="Times New Roman"/>
          <w:color w:val="1F1F1F"/>
        </w:rPr>
        <w:t xml:space="preserve"> (December 2023). </w:t>
      </w:r>
    </w:p>
    <w:p w14:paraId="2BEFAA1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228698B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Relevant Industry Websites (Recommended for further research):</w:t>
      </w:r>
    </w:p>
    <w:p w14:paraId="1AF2FB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0FB4004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Liepin Big Data Channel</w:t>
      </w:r>
      <w:r>
        <w:rPr>
          <w:rFonts w:hint="default" w:ascii="Times New Roman" w:hAnsi="Times New Roman" w:eastAsia="sans-serif" w:cs="Times New Roman"/>
          <w:color w:val="1F1F1F"/>
        </w:rPr>
        <w:t xml:space="preserve">: </w:t>
      </w:r>
      <w:r>
        <w:rPr>
          <w:rFonts w:hint="default" w:ascii="Times New Roman" w:hAnsi="Times New Roman" w:eastAsia="sans-serif" w:cs="Times New Roman"/>
          <w:color w:val="1F1F1F"/>
        </w:rPr>
        <w:fldChar w:fldCharType="begin"/>
      </w:r>
      <w:r>
        <w:rPr>
          <w:rFonts w:hint="default" w:ascii="Times New Roman" w:hAnsi="Times New Roman" w:eastAsia="sans-serif" w:cs="Times New Roman"/>
          <w:color w:val="1F1F1F"/>
        </w:rPr>
        <w:instrText xml:space="preserve"> HYPERLINK "https://www.liepin.com/" </w:instrText>
      </w:r>
      <w:r>
        <w:rPr>
          <w:rFonts w:hint="default" w:ascii="Times New Roman" w:hAnsi="Times New Roman" w:eastAsia="sans-serif" w:cs="Times New Roman"/>
          <w:color w:val="1F1F1F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</w:rPr>
        <w:t xml:space="preserve">https://www.liepin.com/ </w:t>
      </w:r>
      <w:r>
        <w:rPr>
          <w:rFonts w:hint="default" w:ascii="Times New Roman" w:hAnsi="Times New Roman" w:eastAsia="sans-serif" w:cs="Times New Roman"/>
          <w:color w:val="1F1F1F"/>
        </w:rPr>
        <w:fldChar w:fldCharType="end"/>
      </w:r>
    </w:p>
    <w:p w14:paraId="6B3A561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3F3F5B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China Business Industry Research Institute</w:t>
      </w:r>
      <w:r>
        <w:rPr>
          <w:rFonts w:hint="default" w:ascii="Times New Roman" w:hAnsi="Times New Roman" w:eastAsia="sans-serif" w:cs="Times New Roman"/>
          <w:color w:val="1F1F1F"/>
        </w:rPr>
        <w:t>:</w:t>
      </w:r>
      <w:r>
        <w:rPr>
          <w:rFonts w:hint="default" w:ascii="Times New Roman" w:hAnsi="Times New Roman" w:eastAsia="sans-serif" w:cs="Times New Roman"/>
          <w:color w:val="1F1F1F"/>
        </w:rPr>
        <w:fldChar w:fldCharType="begin"/>
      </w:r>
      <w:r>
        <w:rPr>
          <w:rFonts w:hint="default" w:ascii="Times New Roman" w:hAnsi="Times New Roman" w:eastAsia="sans-serif" w:cs="Times New Roman"/>
          <w:color w:val="1F1F1F"/>
        </w:rPr>
        <w:instrText xml:space="preserve"> HYPERLINK "https://www.askci.com/" </w:instrText>
      </w:r>
      <w:r>
        <w:rPr>
          <w:rFonts w:hint="default" w:ascii="Times New Roman" w:hAnsi="Times New Roman" w:eastAsia="sans-serif" w:cs="Times New Roman"/>
          <w:color w:val="1F1F1F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</w:rPr>
        <w:t xml:space="preserve"> https://www.askci.com/ </w:t>
      </w:r>
      <w:r>
        <w:rPr>
          <w:rFonts w:hint="default" w:ascii="Times New Roman" w:hAnsi="Times New Roman" w:eastAsia="sans-serif" w:cs="Times New Roman"/>
          <w:color w:val="1F1F1F"/>
        </w:rPr>
        <w:fldChar w:fldCharType="end"/>
      </w:r>
    </w:p>
    <w:p w14:paraId="38242F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</w:rPr>
      </w:pPr>
    </w:p>
    <w:p w14:paraId="65C3530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Ministry of Industry and Information Technology (MIIT) of the People's Republic of China</w:t>
      </w:r>
      <w:r>
        <w:rPr>
          <w:rFonts w:hint="default" w:ascii="Times New Roman" w:hAnsi="Times New Roman" w:eastAsia="sans-serif" w:cs="Times New Roman"/>
          <w:color w:val="1F1F1F"/>
        </w:rPr>
        <w:t xml:space="preserve">: </w:t>
      </w:r>
      <w:r>
        <w:rPr>
          <w:rFonts w:hint="default" w:ascii="Times New Roman" w:hAnsi="Times New Roman" w:eastAsia="sans-serif" w:cs="Times New Roman"/>
          <w:color w:val="1F1F1F"/>
        </w:rPr>
        <w:fldChar w:fldCharType="begin"/>
      </w:r>
      <w:r>
        <w:rPr>
          <w:rFonts w:hint="default" w:ascii="Times New Roman" w:hAnsi="Times New Roman" w:eastAsia="sans-serif" w:cs="Times New Roman"/>
          <w:color w:val="1F1F1F"/>
        </w:rPr>
        <w:instrText xml:space="preserve"> HYPERLINK "https://www.miit.gov.cn/" </w:instrText>
      </w:r>
      <w:r>
        <w:rPr>
          <w:rFonts w:hint="default" w:ascii="Times New Roman" w:hAnsi="Times New Roman" w:eastAsia="sans-serif" w:cs="Times New Roman"/>
          <w:color w:val="1F1F1F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</w:rPr>
        <w:t xml:space="preserve">https://www.miit.gov.cn/ </w:t>
      </w:r>
      <w:r>
        <w:rPr>
          <w:rFonts w:hint="default" w:ascii="Times New Roman" w:hAnsi="Times New Roman" w:eastAsia="sans-serif" w:cs="Times New Roman"/>
          <w:color w:val="1F1F1F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FB8A66"/>
    <w:multiLevelType w:val="singleLevel"/>
    <w:tmpl w:val="27FB8A6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655D0"/>
    <w:rsid w:val="16401E46"/>
    <w:rsid w:val="432D59D3"/>
    <w:rsid w:val="518D40FB"/>
    <w:rsid w:val="715E2C8E"/>
    <w:rsid w:val="7C88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customStyle="1" w:styleId="11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jpeg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Recruitment Demand by Enterprise Size in the Integrated Circuit Industry, 2024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[工作簿1]Sheet1!$B$1</c:f>
              <c:strCache>
                <c:ptCount val="1"/>
                <c:pt idx="0">
                  <c:v>Percentage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Lbl>
              <c:idx val="0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26%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21%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11%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10%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10%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9%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8%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t>5%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[工作簿1]Sheet1!$A$2:$A$9</c:f>
              <c:strCache>
                <c:ptCount val="8"/>
                <c:pt idx="0">
                  <c:v>100-499 employees</c:v>
                </c:pt>
                <c:pt idx="1">
                  <c:v>Over 10,000 employees</c:v>
                </c:pt>
                <c:pt idx="2">
                  <c:v>1000-2000 employees</c:v>
                </c:pt>
                <c:pt idx="3">
                  <c:v>2000-5000 employees</c:v>
                </c:pt>
                <c:pt idx="4">
                  <c:v>50-99 employees</c:v>
                </c:pt>
                <c:pt idx="5">
                  <c:v>500-999 employees</c:v>
                </c:pt>
                <c:pt idx="6">
                  <c:v>5000-10000 employees</c:v>
                </c:pt>
                <c:pt idx="7">
                  <c:v>1-49 employees</c:v>
                </c:pt>
              </c:strCache>
            </c:strRef>
          </c:cat>
          <c:val>
            <c:numRef>
              <c:f>[工作簿1]Sheet1!$B$2:$B$9</c:f>
              <c:numCache>
                <c:formatCode>0.00%</c:formatCode>
                <c:ptCount val="8"/>
                <c:pt idx="0">
                  <c:v>0.257</c:v>
                </c:pt>
                <c:pt idx="1">
                  <c:v>0.21</c:v>
                </c:pt>
                <c:pt idx="2">
                  <c:v>0.109</c:v>
                </c:pt>
                <c:pt idx="3">
                  <c:v>0.102</c:v>
                </c:pt>
                <c:pt idx="4">
                  <c:v>0.098</c:v>
                </c:pt>
                <c:pt idx="5">
                  <c:v>0.096</c:v>
                </c:pt>
                <c:pt idx="6">
                  <c:v>0.076</c:v>
                </c:pt>
                <c:pt idx="7">
                  <c:v>0.053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778f988-5b7b-42cc-be90-5913be810b3d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844</Words>
  <Characters>5654</Characters>
  <Lines>0</Lines>
  <Paragraphs>0</Paragraphs>
  <TotalTime>33</TotalTime>
  <ScaleCrop>false</ScaleCrop>
  <LinksUpToDate>false</LinksUpToDate>
  <CharactersWithSpaces>6482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2026-02-06T07:04:00Z</dcterms:created>
  <dc:creator>张静恩</dc:creator>
  <cp:lastModifiedBy>睡到自然醒</cp:lastModifiedBy>
  <dcterms:modified xsi:type="dcterms:W3CDTF">2026-05-26T03:09:57Z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6C74D7610C4A44478E9174255A5E07B1_13</vt:lpwstr>
  </property>
  <property fmtid="{D5CDD505-2E9C-101B-9397-08002B2CF9AE}" pid="4" name="KSOTemplateDocerSaveRecord">
    <vt:lpwstr>eyJoZGlkIjoiODk3NjA3YjQ0M2E3ZWMxN2NkMzY3NTEwMTVmMWEyZTciLCJ1c2VySWQiOiI4ODczNzYwNDYifQ==</vt:lpwstr>
  </property>
</Properties>
</file>