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80a854c2c13992c6aed123672783237747129b"/>
    <w:p>
      <w:pPr>
        <w:pStyle w:val="Heading1"/>
      </w:pPr>
      <w:r>
        <w:t xml:space="preserve">Analysis of Guangdong’s Three Major Integrated Circuit Industry Clusters: Shenzhen, Guangzhou, and Zhuhai</w:t>
      </w:r>
    </w:p>
    <w:bookmarkStart w:id="21" w:name="overview-of-the-industrial-clusters"/>
    <w:p>
      <w:pPr>
        <w:pStyle w:val="Heading2"/>
      </w:pPr>
      <w:r>
        <w:t xml:space="preserve">1. Overview of the Industrial Clusters</w:t>
      </w:r>
    </w:p>
    <w:p>
      <w:pPr>
        <w:pStyle w:val="FirstParagraph"/>
      </w:pPr>
      <w:r>
        <w:t xml:space="preserve">The integrated circuit (IC) industry is a core component of the information technology sector and one of Guangdong Province’s key strategic emerging industries. After years of development, Guangdong has established three major IC industry clusters centered in Shenzhen, Guangzhou, and Zhuhai. Shenzhen focuses on chip design and technological innovation, Guangzhou specializes in wafer manufacturing, while Zhuhai has developed a competitive advantage in third-generation semiconductors. Together, these cities constitute the primary growth engines of Guangdong’s IC industry.</w:t>
      </w:r>
    </w:p>
    <w:bookmarkStart w:id="20" w:name="Xdcebd18db170c93d15ae2c8d6d5d6143279ea07"/>
    <w:p>
      <w:pPr>
        <w:pStyle w:val="Heading3"/>
      </w:pPr>
      <w:r>
        <w:t xml:space="preserve">Table 1. Comprehensive Comparison of Guangdong’s Three IC Industry Clusters</w:t>
      </w:r>
    </w:p>
    <w:tbl>
      <w:tblPr>
        <w:tblStyle w:val="Table"/>
        <w:tblW w:type="pct" w:w="5000"/>
        <w:tblLayout w:type="fixed"/>
        <w:tblLook w:firstRow="1" w:lastRow="0" w:firstColumn="0" w:lastColumn="0" w:noHBand="0" w:noVBand="0" w:val="0020"/>
      </w:tblPr>
      <w:tblGrid>
        <w:gridCol w:w="1462"/>
        <w:gridCol w:w="2193"/>
        <w:gridCol w:w="2315"/>
        <w:gridCol w:w="1949"/>
      </w:tblGrid>
      <w:tr>
        <w:trPr>
          <w:tblHeader w:val="on"/>
        </w:trPr>
        <w:tc>
          <w:tcPr/>
          <w:p>
            <w:pPr>
              <w:pStyle w:val="Compact"/>
            </w:pPr>
            <w:r>
              <w:t xml:space="preserve">Dimension</w:t>
            </w:r>
          </w:p>
        </w:tc>
        <w:tc>
          <w:tcPr/>
          <w:p>
            <w:pPr>
              <w:pStyle w:val="Compact"/>
            </w:pPr>
            <w:r>
              <w:t xml:space="preserve">Shenzhen Cluster</w:t>
            </w:r>
          </w:p>
        </w:tc>
        <w:tc>
          <w:tcPr/>
          <w:p>
            <w:pPr>
              <w:pStyle w:val="Compact"/>
            </w:pPr>
            <w:r>
              <w:t xml:space="preserve">Guangzhou Cluster</w:t>
            </w:r>
          </w:p>
        </w:tc>
        <w:tc>
          <w:tcPr/>
          <w:p>
            <w:pPr>
              <w:pStyle w:val="Compact"/>
            </w:pPr>
            <w:r>
              <w:t xml:space="preserve">Zhuhai Cluster</w:t>
            </w:r>
          </w:p>
        </w:tc>
      </w:tr>
      <w:tr>
        <w:tc>
          <w:tcPr/>
          <w:p>
            <w:pPr>
              <w:pStyle w:val="Compact"/>
            </w:pPr>
            <w:r>
              <w:t xml:space="preserve">Industrial Positioning</w:t>
            </w:r>
          </w:p>
        </w:tc>
        <w:tc>
          <w:tcPr/>
          <w:p>
            <w:pPr>
              <w:pStyle w:val="Compact"/>
            </w:pPr>
            <w:r>
              <w:t xml:space="preserve">Chip Design and Innovation Center</w:t>
            </w:r>
          </w:p>
        </w:tc>
        <w:tc>
          <w:tcPr/>
          <w:p>
            <w:pPr>
              <w:pStyle w:val="Compact"/>
            </w:pPr>
            <w:r>
              <w:t xml:space="preserve">Wafer Manufacturing Center</w:t>
            </w:r>
          </w:p>
        </w:tc>
        <w:tc>
          <w:tcPr/>
          <w:p>
            <w:pPr>
              <w:pStyle w:val="Compact"/>
            </w:pPr>
            <w:r>
              <w:t xml:space="preserve">Third-Generation Semiconductor Base</w:t>
            </w:r>
          </w:p>
        </w:tc>
      </w:tr>
      <w:tr>
        <w:tc>
          <w:tcPr/>
          <w:p>
            <w:pPr>
              <w:pStyle w:val="Compact"/>
            </w:pPr>
            <w:r>
              <w:t xml:space="preserve">Representative Companies</w:t>
            </w:r>
          </w:p>
        </w:tc>
        <w:tc>
          <w:tcPr/>
          <w:p>
            <w:pPr>
              <w:pStyle w:val="Compact"/>
            </w:pPr>
            <w:r>
              <w:t xml:space="preserve">HiSilicon, ZTE Microelectronics, Goodix</w:t>
            </w:r>
          </w:p>
        </w:tc>
        <w:tc>
          <w:tcPr/>
          <w:p>
            <w:pPr>
              <w:pStyle w:val="Compact"/>
            </w:pPr>
            <w:r>
              <w:t xml:space="preserve">CanSemi, Guangzhou National IC Research Institute</w:t>
            </w:r>
          </w:p>
        </w:tc>
        <w:tc>
          <w:tcPr/>
          <w:p>
            <w:pPr>
              <w:pStyle w:val="Compact"/>
            </w:pPr>
            <w:r>
              <w:t xml:space="preserve">Innoscience, Allwinner Technology, JieLi Technology</w:t>
            </w:r>
          </w:p>
        </w:tc>
      </w:tr>
      <w:tr>
        <w:tc>
          <w:tcPr/>
          <w:p>
            <w:pPr>
              <w:pStyle w:val="Compact"/>
            </w:pPr>
            <w:r>
              <w:t xml:space="preserve">Number of Enterprises (2024)</w:t>
            </w:r>
          </w:p>
        </w:tc>
        <w:tc>
          <w:tcPr/>
          <w:p>
            <w:pPr>
              <w:pStyle w:val="Compact"/>
            </w:pPr>
            <w:r>
              <w:t xml:space="preserve">727</w:t>
            </w:r>
          </w:p>
        </w:tc>
        <w:tc>
          <w:tcPr/>
          <w:p>
            <w:pPr>
              <w:pStyle w:val="Compact"/>
            </w:pPr>
            <w:r>
              <w:t xml:space="preserve">Approximately 200</w:t>
            </w:r>
          </w:p>
        </w:tc>
        <w:tc>
          <w:tcPr/>
          <w:p>
            <w:pPr>
              <w:pStyle w:val="Compact"/>
            </w:pPr>
            <w:r>
              <w:t xml:space="preserve">More than 100</w:t>
            </w:r>
          </w:p>
        </w:tc>
      </w:tr>
      <w:tr>
        <w:tc>
          <w:tcPr/>
          <w:p>
            <w:pPr>
              <w:pStyle w:val="Compact"/>
            </w:pPr>
            <w:r>
              <w:t xml:space="preserve">Industrial Scale</w:t>
            </w:r>
          </w:p>
        </w:tc>
        <w:tc>
          <w:tcPr/>
          <w:p>
            <w:pPr>
              <w:pStyle w:val="Compact"/>
            </w:pPr>
            <w:r>
              <w:t xml:space="preserve">RMB 283.96 billion</w:t>
            </w:r>
          </w:p>
        </w:tc>
        <w:tc>
          <w:tcPr/>
          <w:p>
            <w:pPr>
              <w:pStyle w:val="Compact"/>
            </w:pPr>
            <w:r>
              <w:t xml:space="preserve">About RMB 50 billion</w:t>
            </w:r>
          </w:p>
        </w:tc>
        <w:tc>
          <w:tcPr/>
          <w:p>
            <w:pPr>
              <w:pStyle w:val="Compact"/>
            </w:pPr>
            <w:r>
              <w:t xml:space="preserve">About RMB 20 billion</w:t>
            </w:r>
          </w:p>
        </w:tc>
      </w:tr>
      <w:tr>
        <w:tc>
          <w:tcPr/>
          <w:p>
            <w:pPr>
              <w:pStyle w:val="Compact"/>
            </w:pPr>
            <w:r>
              <w:t xml:space="preserve">Major Patent Fields</w:t>
            </w:r>
          </w:p>
        </w:tc>
        <w:tc>
          <w:tcPr/>
          <w:p>
            <w:pPr>
              <w:pStyle w:val="Compact"/>
            </w:pPr>
            <w:r>
              <w:t xml:space="preserve">AI chips, EDA, communication chips</w:t>
            </w:r>
          </w:p>
        </w:tc>
        <w:tc>
          <w:tcPr/>
          <w:p>
            <w:pPr>
              <w:pStyle w:val="Compact"/>
            </w:pPr>
            <w:r>
              <w:t xml:space="preserve">Manufacturing processes, automotive chips</w:t>
            </w:r>
          </w:p>
        </w:tc>
        <w:tc>
          <w:tcPr/>
          <w:p>
            <w:pPr>
              <w:pStyle w:val="Compact"/>
            </w:pPr>
            <w:r>
              <w:t xml:space="preserve">GaN power devices</w:t>
            </w:r>
          </w:p>
        </w:tc>
      </w:tr>
      <w:tr>
        <w:tc>
          <w:tcPr/>
          <w:p>
            <w:pPr>
              <w:pStyle w:val="Compact"/>
            </w:pPr>
            <w:r>
              <w:t xml:space="preserve">Technological Breakthroughs</w:t>
            </w:r>
          </w:p>
        </w:tc>
        <w:tc>
          <w:tcPr/>
          <w:p>
            <w:pPr>
              <w:pStyle w:val="Compact"/>
            </w:pPr>
            <w:r>
              <w:t xml:space="preserve">Domestic IP cores, EDA tools, automotive chips</w:t>
            </w:r>
          </w:p>
        </w:tc>
        <w:tc>
          <w:tcPr/>
          <w:p>
            <w:pPr>
              <w:pStyle w:val="Compact"/>
            </w:pPr>
            <w:r>
              <w:t xml:space="preserve">Mass production of 12-inch specialty processes</w:t>
            </w:r>
          </w:p>
        </w:tc>
        <w:tc>
          <w:tcPr/>
          <w:p>
            <w:pPr>
              <w:pStyle w:val="Compact"/>
            </w:pPr>
            <w:r>
              <w:t xml:space="preserve">Commercialization of GaN fast-charging chips</w:t>
            </w:r>
          </w:p>
        </w:tc>
      </w:tr>
      <w:tr>
        <w:tc>
          <w:tcPr/>
          <w:p>
            <w:pPr>
              <w:pStyle w:val="Compact"/>
            </w:pPr>
            <w:r>
              <w:t xml:space="preserve">Policy Focus</w:t>
            </w:r>
          </w:p>
        </w:tc>
        <w:tc>
          <w:tcPr/>
          <w:p>
            <w:pPr>
              <w:pStyle w:val="Compact"/>
            </w:pPr>
            <w:r>
              <w:t xml:space="preserve">R&amp;D support and tape-out subsidies</w:t>
            </w:r>
          </w:p>
        </w:tc>
        <w:tc>
          <w:tcPr/>
          <w:p>
            <w:pPr>
              <w:pStyle w:val="Compact"/>
            </w:pPr>
            <w:r>
              <w:t xml:space="preserve">Manufacturing expansion and equipment subsidies</w:t>
            </w:r>
          </w:p>
        </w:tc>
        <w:tc>
          <w:tcPr/>
          <w:p>
            <w:pPr>
              <w:pStyle w:val="Compact"/>
            </w:pPr>
            <w:r>
              <w:t xml:space="preserve">Special support for third-generation semiconductors</w:t>
            </w:r>
          </w:p>
        </w:tc>
      </w:tr>
      <w:tr>
        <w:tc>
          <w:tcPr/>
          <w:p>
            <w:pPr>
              <w:pStyle w:val="Compact"/>
            </w:pPr>
            <w:r>
              <w:t xml:space="preserve">Location Advantages</w:t>
            </w:r>
          </w:p>
        </w:tc>
        <w:tc>
          <w:tcPr/>
          <w:p>
            <w:pPr>
              <w:pStyle w:val="Compact"/>
            </w:pPr>
            <w:r>
              <w:t xml:space="preserve">Strong electronics industry ecosystem</w:t>
            </w:r>
          </w:p>
        </w:tc>
        <w:tc>
          <w:tcPr/>
          <w:p>
            <w:pPr>
              <w:pStyle w:val="Compact"/>
            </w:pPr>
            <w:r>
              <w:t xml:space="preserve">Automotive industry and university resources</w:t>
            </w:r>
          </w:p>
        </w:tc>
        <w:tc>
          <w:tcPr/>
          <w:p>
            <w:pPr>
              <w:pStyle w:val="Compact"/>
            </w:pPr>
            <w:r>
              <w:t xml:space="preserve">Complete consumer electronics supply chain</w:t>
            </w:r>
          </w:p>
        </w:tc>
      </w:tr>
      <w:tr>
        <w:tc>
          <w:tcPr/>
          <w:p>
            <w:pPr>
              <w:pStyle w:val="Compact"/>
            </w:pPr>
            <w:r>
              <w:t xml:space="preserve">Role in Supply Chain</w:t>
            </w:r>
          </w:p>
        </w:tc>
        <w:tc>
          <w:tcPr/>
          <w:p>
            <w:pPr>
              <w:pStyle w:val="Compact"/>
            </w:pPr>
            <w:r>
              <w:t xml:space="preserve">Chip Design</w:t>
            </w:r>
          </w:p>
        </w:tc>
        <w:tc>
          <w:tcPr/>
          <w:p>
            <w:pPr>
              <w:pStyle w:val="Compact"/>
            </w:pPr>
            <w:r>
              <w:t xml:space="preserve">Wafer Manufacturing</w:t>
            </w:r>
          </w:p>
        </w:tc>
        <w:tc>
          <w:tcPr/>
          <w:p>
            <w:pPr>
              <w:pStyle w:val="Compact"/>
            </w:pPr>
            <w:r>
              <w:t xml:space="preserve">Power Semiconductors and Specialty Manufacturing</w:t>
            </w:r>
          </w:p>
        </w:tc>
      </w:tr>
    </w:tbl>
    <w:p>
      <w:r>
        <w:pict>
          <v:rect style="width:0;height:1.5pt" o:hralign="center" o:hrstd="t" o:hr="t"/>
        </w:pict>
      </w:r>
    </w:p>
    <w:bookmarkEnd w:id="20"/>
    <w:bookmarkEnd w:id="21"/>
    <w:bookmarkStart w:id="24" w:name="X8cf1e5843c7e9151099467f7fa032e957ab9b20"/>
    <w:p>
      <w:pPr>
        <w:pStyle w:val="Heading2"/>
      </w:pPr>
      <w:r>
        <w:t xml:space="preserve">2. Analysis of Technological Innovation Capability</w:t>
      </w:r>
    </w:p>
    <w:p>
      <w:pPr>
        <w:pStyle w:val="FirstParagraph"/>
      </w:pPr>
      <w:r>
        <w:t xml:space="preserve">Technological innovation is a key determinant of industrial cluster competitiveness. Guangdong has established an innovation system characterized by Shenzhen as the innovation hub, Guangzhou as the manufacturing innovation base, and Zhuhai as a specialized center for third-generation semiconductors.</w:t>
      </w:r>
    </w:p>
    <w:p>
      <w:pPr>
        <w:pStyle w:val="BodyText"/>
      </w:pPr>
      <w:r>
        <w:t xml:space="preserve">Shenzhen possesses the strongest innovation capability among Guangdong’s IC clusters. By the end of 2024, Shenzhen had 727 IC enterprises, including 456 design companies, accounting for 62.7% of the total. The industry generated revenue of RMB 283.96 billion, representing a year-on-year increase of 32.9% and approximately 79% of Guangdong’s total IC industry output. Shenzhen has developed strong innovation capabilities in artificial intelligence chips, communication chips, automotive-grade chips, and Electronic Design Automation (EDA) software.</w:t>
      </w:r>
    </w:p>
    <w:p>
      <w:pPr>
        <w:pStyle w:val="BodyText"/>
      </w:pPr>
      <w:r>
        <w:t xml:space="preserve">Guangzhou plays a critical role in manufacturing innovation. Supported by CanSemi’s 12-inch specialty process production line, the city focuses on breakthroughs in analog chips, power devices, and automotive-grade semiconductor manufacturing technologies.</w:t>
      </w:r>
    </w:p>
    <w:p>
      <w:pPr>
        <w:pStyle w:val="BodyText"/>
      </w:pPr>
      <w:r>
        <w:t xml:space="preserve">Zhuhai has emerged as a major center for third-generation semiconductors through companies such as Innoscience, Allwinner Technology, and JieLi Technology. Innoscience has established one of China’s leading gallium nitride (GaN) industrialization platforms, making Zhuhai an important national hub for third-generation semiconductor development.</w:t>
      </w:r>
    </w:p>
    <w:bookmarkStart w:id="22" w:name="X4edaaf52b5734560d312eff58edcac428b84e6e"/>
    <w:p>
      <w:pPr>
        <w:pStyle w:val="Heading3"/>
      </w:pPr>
      <w:r>
        <w:t xml:space="preserve">Table 2. Comparison of Patent and Innovation Capabilities</w:t>
      </w:r>
    </w:p>
    <w:tbl>
      <w:tblPr>
        <w:tblStyle w:val="Table"/>
        <w:tblW w:type="pct" w:w="5000"/>
        <w:tblLayout w:type="fixed"/>
        <w:tblLook w:firstRow="1" w:lastRow="0" w:firstColumn="0" w:lastColumn="0" w:noHBand="0" w:noVBand="0" w:val="0020"/>
      </w:tblPr>
      <w:tblGrid>
        <w:gridCol w:w="2160"/>
        <w:gridCol w:w="1980"/>
        <w:gridCol w:w="2160"/>
        <w:gridCol w:w="1620"/>
      </w:tblGrid>
      <w:tr>
        <w:trPr>
          <w:tblHeader w:val="on"/>
        </w:trPr>
        <w:tc>
          <w:tcPr/>
          <w:p>
            <w:pPr>
              <w:pStyle w:val="Compact"/>
            </w:pPr>
            <w:r>
              <w:t xml:space="preserve">Indicator</w:t>
            </w:r>
          </w:p>
        </w:tc>
        <w:tc>
          <w:tcPr/>
          <w:p>
            <w:pPr>
              <w:pStyle w:val="Compact"/>
            </w:pPr>
            <w:r>
              <w:t xml:space="preserve">Shenzhen</w:t>
            </w:r>
          </w:p>
        </w:tc>
        <w:tc>
          <w:tcPr/>
          <w:p>
            <w:pPr>
              <w:pStyle w:val="Compact"/>
            </w:pPr>
            <w:r>
              <w:t xml:space="preserve">Guangzhou</w:t>
            </w:r>
          </w:p>
        </w:tc>
        <w:tc>
          <w:tcPr/>
          <w:p>
            <w:pPr>
              <w:pStyle w:val="Compact"/>
            </w:pPr>
            <w:r>
              <w:t xml:space="preserve">Zhuhai</w:t>
            </w:r>
          </w:p>
        </w:tc>
      </w:tr>
      <w:tr>
        <w:tc>
          <w:tcPr/>
          <w:p>
            <w:pPr>
              <w:pStyle w:val="Compact"/>
            </w:pPr>
            <w:r>
              <w:t xml:space="preserve">Innovation Entities</w:t>
            </w:r>
          </w:p>
        </w:tc>
        <w:tc>
          <w:tcPr/>
          <w:p>
            <w:pPr>
              <w:pStyle w:val="Compact"/>
            </w:pPr>
            <w:r>
              <w:t xml:space="preserve">IC Design Firms</w:t>
            </w:r>
          </w:p>
        </w:tc>
        <w:tc>
          <w:tcPr/>
          <w:p>
            <w:pPr>
              <w:pStyle w:val="Compact"/>
            </w:pPr>
            <w:r>
              <w:t xml:space="preserve">Manufacturing Enterprises</w:t>
            </w:r>
          </w:p>
        </w:tc>
        <w:tc>
          <w:tcPr/>
          <w:p>
            <w:pPr>
              <w:pStyle w:val="Compact"/>
            </w:pPr>
            <w:r>
              <w:t xml:space="preserve">Power Semiconductor Firms</w:t>
            </w:r>
          </w:p>
        </w:tc>
      </w:tr>
      <w:tr>
        <w:tc>
          <w:tcPr/>
          <w:p>
            <w:pPr>
              <w:pStyle w:val="Compact"/>
            </w:pPr>
            <w:r>
              <w:t xml:space="preserve">Share of Provincial Invention Patents</w:t>
            </w:r>
          </w:p>
        </w:tc>
        <w:tc>
          <w:tcPr/>
          <w:p>
            <w:pPr>
              <w:pStyle w:val="Compact"/>
            </w:pPr>
            <w:r>
              <w:t xml:space="preserve">&gt;65%</w:t>
            </w:r>
          </w:p>
        </w:tc>
        <w:tc>
          <w:tcPr/>
          <w:p>
            <w:pPr>
              <w:pStyle w:val="Compact"/>
            </w:pPr>
            <w:r>
              <w:t xml:space="preserve">About 20%</w:t>
            </w:r>
          </w:p>
        </w:tc>
        <w:tc>
          <w:tcPr/>
          <w:p>
            <w:pPr>
              <w:pStyle w:val="Compact"/>
            </w:pPr>
            <w:r>
              <w:t xml:space="preserve">About 10%</w:t>
            </w:r>
          </w:p>
        </w:tc>
      </w:tr>
      <w:tr>
        <w:tc>
          <w:tcPr/>
          <w:p>
            <w:pPr>
              <w:pStyle w:val="Compact"/>
            </w:pPr>
            <w:r>
              <w:t xml:space="preserve">Major Patent Fields</w:t>
            </w:r>
          </w:p>
        </w:tc>
        <w:tc>
          <w:tcPr/>
          <w:p>
            <w:pPr>
              <w:pStyle w:val="Compact"/>
            </w:pPr>
            <w:r>
              <w:t xml:space="preserve">AI chips, EDA, communication chips</w:t>
            </w:r>
          </w:p>
        </w:tc>
        <w:tc>
          <w:tcPr/>
          <w:p>
            <w:pPr>
              <w:pStyle w:val="Compact"/>
            </w:pPr>
            <w:r>
              <w:t xml:space="preserve">Manufacturing processes, automotive chips</w:t>
            </w:r>
          </w:p>
        </w:tc>
        <w:tc>
          <w:tcPr/>
          <w:p>
            <w:pPr>
              <w:pStyle w:val="Compact"/>
            </w:pPr>
            <w:r>
              <w:t xml:space="preserve">GaN power devices</w:t>
            </w:r>
          </w:p>
        </w:tc>
      </w:tr>
      <w:tr>
        <w:tc>
          <w:tcPr/>
          <w:p>
            <w:pPr>
              <w:pStyle w:val="Compact"/>
            </w:pPr>
            <w:r>
              <w:t xml:space="preserve">Innovation Characteristics</w:t>
            </w:r>
          </w:p>
        </w:tc>
        <w:tc>
          <w:tcPr/>
          <w:p>
            <w:pPr>
              <w:pStyle w:val="Compact"/>
            </w:pPr>
            <w:r>
              <w:t xml:space="preserve">Strong original innovation</w:t>
            </w:r>
          </w:p>
        </w:tc>
        <w:tc>
          <w:tcPr/>
          <w:p>
            <w:pPr>
              <w:pStyle w:val="Compact"/>
            </w:pPr>
            <w:r>
              <w:t xml:space="preserve">Strong process innovation</w:t>
            </w:r>
          </w:p>
        </w:tc>
        <w:tc>
          <w:tcPr/>
          <w:p>
            <w:pPr>
              <w:pStyle w:val="Compact"/>
            </w:pPr>
            <w:r>
              <w:t xml:space="preserve">Strong industrialization capability</w:t>
            </w:r>
          </w:p>
        </w:tc>
      </w:tr>
      <w:tr>
        <w:tc>
          <w:tcPr/>
          <w:p>
            <w:pPr>
              <w:pStyle w:val="Compact"/>
            </w:pPr>
            <w:r>
              <w:t xml:space="preserve">National Competitiveness</w:t>
            </w:r>
          </w:p>
        </w:tc>
        <w:tc>
          <w:tcPr/>
          <w:p>
            <w:pPr>
              <w:pStyle w:val="Compact"/>
            </w:pPr>
            <w:r>
              <w:t xml:space="preserve">First-tier cluster</w:t>
            </w:r>
          </w:p>
        </w:tc>
        <w:tc>
          <w:tcPr/>
          <w:p>
            <w:pPr>
              <w:pStyle w:val="Compact"/>
            </w:pPr>
            <w:r>
              <w:t xml:space="preserve">Specialized manufacturing base</w:t>
            </w:r>
          </w:p>
        </w:tc>
        <w:tc>
          <w:tcPr/>
          <w:p>
            <w:pPr>
              <w:pStyle w:val="Compact"/>
            </w:pPr>
            <w:r>
              <w:t xml:space="preserve">Leading third-generation semiconductor base</w:t>
            </w:r>
          </w:p>
        </w:tc>
      </w:tr>
    </w:tbl>
    <w:bookmarkEnd w:id="22"/>
    <w:bookmarkStart w:id="23" w:name="analysis-conclusion"/>
    <w:p>
      <w:pPr>
        <w:pStyle w:val="Heading3"/>
      </w:pPr>
      <w:r>
        <w:t xml:space="preserve">Analysis Conclusion</w:t>
      </w:r>
    </w:p>
    <w:p>
      <w:pPr>
        <w:pStyle w:val="FirstParagraph"/>
      </w:pPr>
      <w:r>
        <w:t xml:space="preserve">From the perspectives of patent distribution and technological breakthroughs, Shenzhen concentrates the majority of Guangdong’s high-value invention patents and serves as the province’s innovation center. Guangzhou focuses on manufacturing process innovation, while Zhuhai specializes in third-generation semiconductor innovation. Together, the three cities form a differentiated innovation ecosystem that enhances Guangdong’s overall industrial competitiveness.</w:t>
      </w:r>
    </w:p>
    <w:p>
      <w:r>
        <w:pict>
          <v:rect style="width:0;height:1.5pt" o:hralign="center" o:hrstd="t" o:hr="t"/>
        </w:pict>
      </w:r>
    </w:p>
    <w:bookmarkEnd w:id="23"/>
    <w:bookmarkEnd w:id="24"/>
    <w:bookmarkStart w:id="27" w:name="analysis-of-the-policy-support-system"/>
    <w:p>
      <w:pPr>
        <w:pStyle w:val="Heading2"/>
      </w:pPr>
      <w:r>
        <w:t xml:space="preserve">3. Analysis of the Policy Support System</w:t>
      </w:r>
    </w:p>
    <w:p>
      <w:pPr>
        <w:pStyle w:val="FirstParagraph"/>
      </w:pPr>
      <w:r>
        <w:t xml:space="preserve">Guangdong has established a policy support framework combining provincial-level strategic planning with local government initiatives.</w:t>
      </w:r>
    </w:p>
    <w:p>
      <w:pPr>
        <w:pStyle w:val="BodyText"/>
      </w:pPr>
      <w:r>
        <w:t xml:space="preserve">At the provincial level, the</w:t>
      </w:r>
      <w:r>
        <w:t xml:space="preserve"> </w:t>
      </w:r>
      <w:r>
        <w:rPr>
          <w:i/>
          <w:iCs/>
        </w:rPr>
        <w:t xml:space="preserve">Action Plan for Cultivating Guangdong’s Semiconductor and Integrated Circuit Strategic Emerging Industry Cluster (2021–2025)</w:t>
      </w:r>
      <w:r>
        <w:t xml:space="preserve"> </w:t>
      </w:r>
      <w:r>
        <w:t xml:space="preserve">sets the goal of achieving more than RMB 400 billion in industry revenue by 2025, with R&amp;D investment intensity exceeding 5%. The plan emphasizes chip design leadership, manufacturing capacity enhancement, and third-generation semiconductor development.</w:t>
      </w:r>
    </w:p>
    <w:p>
      <w:pPr>
        <w:pStyle w:val="BodyText"/>
      </w:pPr>
      <w:r>
        <w:t xml:space="preserve">The</w:t>
      </w:r>
      <w:r>
        <w:t xml:space="preserve"> </w:t>
      </w:r>
      <w:r>
        <w:rPr>
          <w:i/>
          <w:iCs/>
        </w:rPr>
        <w:t xml:space="preserve">Action Plan for Cultivating Guangdong’s Semiconductor and Integrated Circuit Strategic Emerging Industry Cluster (2023–2025)</w:t>
      </w:r>
      <w:r>
        <w:t xml:space="preserve"> </w:t>
      </w:r>
      <w:r>
        <w:t xml:space="preserve">further identifies Shenzhen, Guangzhou, and Zhuhai as the province’s three core industrial clusters and promotes coordinated development across design, manufacturing, packaging and testing, equipment, materials, and third-generation semiconductors.</w:t>
      </w:r>
    </w:p>
    <w:p>
      <w:pPr>
        <w:pStyle w:val="BodyText"/>
      </w:pPr>
      <w:r>
        <w:t xml:space="preserve">At the municipal level:</w:t>
      </w:r>
    </w:p>
    <w:p>
      <w:pPr>
        <w:numPr>
          <w:ilvl w:val="0"/>
          <w:numId w:val="1001"/>
        </w:numPr>
      </w:pPr>
      <w:r>
        <w:t xml:space="preserve">Shenzhen provides strong support for IC design enterprises through R&amp;D subsidies, tape-out funding, and talent recruitment programs.</w:t>
      </w:r>
    </w:p>
    <w:p>
      <w:pPr>
        <w:numPr>
          <w:ilvl w:val="0"/>
          <w:numId w:val="1001"/>
        </w:numPr>
      </w:pPr>
      <w:r>
        <w:t xml:space="preserve">Guangzhou prioritizes wafer manufacturing projects by offering subsidies for equipment procurement and production line expansion.</w:t>
      </w:r>
    </w:p>
    <w:p>
      <w:pPr>
        <w:numPr>
          <w:ilvl w:val="0"/>
          <w:numId w:val="1001"/>
        </w:numPr>
      </w:pPr>
      <w:r>
        <w:t xml:space="preserve">Zhuhai has established dedicated funds to support the development of gallium nitride (GaN) and silicon carbide (SiC) semiconductor industries.</w:t>
      </w:r>
    </w:p>
    <w:bookmarkStart w:id="25" w:name="Xc0ea4eaf7ce963f8508556936f3ed265005fcb0"/>
    <w:p>
      <w:pPr>
        <w:pStyle w:val="Heading3"/>
      </w:pPr>
      <w:r>
        <w:t xml:space="preserve">Table 3. Policy Priorities of the Three Clusters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City</w:t>
            </w:r>
          </w:p>
        </w:tc>
        <w:tc>
          <w:tcPr/>
          <w:p>
            <w:pPr>
              <w:pStyle w:val="Compact"/>
            </w:pPr>
            <w:r>
              <w:t xml:space="preserve">Policy Focus</w:t>
            </w:r>
          </w:p>
        </w:tc>
      </w:tr>
      <w:tr>
        <w:tc>
          <w:tcPr/>
          <w:p>
            <w:pPr>
              <w:pStyle w:val="Compact"/>
            </w:pPr>
            <w:r>
              <w:t xml:space="preserve">Shenzhen</w:t>
            </w:r>
          </w:p>
        </w:tc>
        <w:tc>
          <w:tcPr/>
          <w:p>
            <w:pPr>
              <w:pStyle w:val="Compact"/>
            </w:pPr>
            <w:r>
              <w:t xml:space="preserve">Chip design, EDA development, tape-out subsidies</w:t>
            </w:r>
          </w:p>
        </w:tc>
      </w:tr>
      <w:tr>
        <w:tc>
          <w:tcPr/>
          <w:p>
            <w:pPr>
              <w:pStyle w:val="Compact"/>
            </w:pPr>
            <w:r>
              <w:t xml:space="preserve">Guangzhou</w:t>
            </w:r>
          </w:p>
        </w:tc>
        <w:tc>
          <w:tcPr/>
          <w:p>
            <w:pPr>
              <w:pStyle w:val="Compact"/>
            </w:pPr>
            <w:r>
              <w:t xml:space="preserve">Wafer manufacturing, equipment investment, process R&amp;D</w:t>
            </w:r>
          </w:p>
        </w:tc>
      </w:tr>
      <w:tr>
        <w:tc>
          <w:tcPr/>
          <w:p>
            <w:pPr>
              <w:pStyle w:val="Compact"/>
            </w:pPr>
            <w:r>
              <w:t xml:space="preserve">Zhuhai</w:t>
            </w:r>
          </w:p>
        </w:tc>
        <w:tc>
          <w:tcPr/>
          <w:p>
            <w:pPr>
              <w:pStyle w:val="Compact"/>
            </w:pPr>
            <w:r>
              <w:t xml:space="preserve">Third-generation semiconductors, GaN industrialization</w:t>
            </w:r>
          </w:p>
        </w:tc>
      </w:tr>
    </w:tbl>
    <w:bookmarkEnd w:id="25"/>
    <w:bookmarkStart w:id="26" w:name="analysis-conclusion-1"/>
    <w:p>
      <w:pPr>
        <w:pStyle w:val="Heading3"/>
      </w:pPr>
      <w:r>
        <w:t xml:space="preserve">Analysis Conclusion</w:t>
      </w:r>
    </w:p>
    <w:p>
      <w:pPr>
        <w:pStyle w:val="FirstParagraph"/>
      </w:pPr>
      <w:r>
        <w:t xml:space="preserve">Through the combination of provincial strategic guidance and local policy support, Guangdong has created a favorable institutional environment for industrial cluster development, effectively promoting technological innovation and industrial chain upgrading.</w:t>
      </w:r>
    </w:p>
    <w:p>
      <w:r>
        <w:pict>
          <v:rect style="width:0;height:1.5pt" o:hralign="center" o:hrstd="t" o:hr="t"/>
        </w:pict>
      </w:r>
    </w:p>
    <w:bookmarkEnd w:id="26"/>
    <w:bookmarkEnd w:id="27"/>
    <w:bookmarkStart w:id="30" w:name="analysis-of-location-advantages"/>
    <w:p>
      <w:pPr>
        <w:pStyle w:val="Heading2"/>
      </w:pPr>
      <w:r>
        <w:t xml:space="preserve">4. Analysis of Location Advantages</w:t>
      </w:r>
    </w:p>
    <w:p>
      <w:pPr>
        <w:pStyle w:val="FirstParagraph"/>
      </w:pPr>
      <w:r>
        <w:t xml:space="preserve">Shenzhen benefits from the presence of leading technology companies such as Huawei, Tencent, BYD, and DJI. Its strong electronics manufacturing ecosystem creates a development model in which market demand drives chip innovation. In addition, Shenzhen’s concentration of venture capital institutions and high-tech talent provides significant innovation advantages.</w:t>
      </w:r>
    </w:p>
    <w:p>
      <w:pPr>
        <w:pStyle w:val="BodyText"/>
      </w:pPr>
      <w:r>
        <w:t xml:space="preserve">Guangzhou is located in the geographic center of the Pearl River Delta and is home to major automotive manufacturers such as GAC Group. This creates substantial demand for automotive-grade semiconductors. Universities such as South China University of Technology and Sun Yat-sen University also provide strong research and talent support.</w:t>
      </w:r>
    </w:p>
    <w:p>
      <w:pPr>
        <w:pStyle w:val="BodyText"/>
      </w:pPr>
      <w:r>
        <w:t xml:space="preserve">Zhuhai is closely connected to manufacturing centers such as Zhongshan and Foshan and possesses a well-developed consumer electronics and power supply industry ecosystem. Lower land and operating costs make it particularly attractive for semiconductor fabrication and industrial-scale production projects.</w:t>
      </w:r>
    </w:p>
    <w:bookmarkStart w:id="28" w:name="X454124dd13db28c7d71fdf2a13d15350421c6ca"/>
    <w:p>
      <w:pPr>
        <w:pStyle w:val="Heading3"/>
      </w:pPr>
      <w:r>
        <w:t xml:space="preserve">Table 4. Comparison of Location Advantages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City</w:t>
            </w:r>
          </w:p>
        </w:tc>
        <w:tc>
          <w:tcPr/>
          <w:p>
            <w:pPr>
              <w:pStyle w:val="Compact"/>
            </w:pPr>
            <w:r>
              <w:t xml:space="preserve">Major Advantages</w:t>
            </w:r>
          </w:p>
        </w:tc>
      </w:tr>
      <w:tr>
        <w:tc>
          <w:tcPr/>
          <w:p>
            <w:pPr>
              <w:pStyle w:val="Compact"/>
            </w:pPr>
            <w:r>
              <w:t xml:space="preserve">Shenzhen</w:t>
            </w:r>
          </w:p>
        </w:tc>
        <w:tc>
          <w:tcPr/>
          <w:p>
            <w:pPr>
              <w:pStyle w:val="Compact"/>
            </w:pPr>
            <w:r>
              <w:t xml:space="preserve">Rich innovation resources and strong market demand</w:t>
            </w:r>
          </w:p>
        </w:tc>
      </w:tr>
      <w:tr>
        <w:tc>
          <w:tcPr/>
          <w:p>
            <w:pPr>
              <w:pStyle w:val="Compact"/>
            </w:pPr>
            <w:r>
              <w:t xml:space="preserve">Guangzhou</w:t>
            </w:r>
          </w:p>
        </w:tc>
        <w:tc>
          <w:tcPr/>
          <w:p>
            <w:pPr>
              <w:pStyle w:val="Compact"/>
            </w:pPr>
            <w:r>
              <w:t xml:space="preserve">Central location and strong automotive industry support</w:t>
            </w:r>
          </w:p>
        </w:tc>
      </w:tr>
      <w:tr>
        <w:tc>
          <w:tcPr/>
          <w:p>
            <w:pPr>
              <w:pStyle w:val="Compact"/>
            </w:pPr>
            <w:r>
              <w:t xml:space="preserve">Zhuhai</w:t>
            </w:r>
          </w:p>
        </w:tc>
        <w:tc>
          <w:tcPr/>
          <w:p>
            <w:pPr>
              <w:pStyle w:val="Compact"/>
            </w:pPr>
            <w:r>
              <w:t xml:space="preserve">Lower production costs and development potential for third-generation semiconductors</w:t>
            </w:r>
          </w:p>
        </w:tc>
      </w:tr>
    </w:tbl>
    <w:bookmarkEnd w:id="28"/>
    <w:bookmarkStart w:id="29" w:name="analysis-conclusion-2"/>
    <w:p>
      <w:pPr>
        <w:pStyle w:val="Heading3"/>
      </w:pPr>
      <w:r>
        <w:t xml:space="preserve">Analysis Conclusion</w:t>
      </w:r>
    </w:p>
    <w:p>
      <w:pPr>
        <w:pStyle w:val="FirstParagraph"/>
      </w:pPr>
      <w:r>
        <w:t xml:space="preserve">The three clusters leverage different location-specific resources and comparative advantages, creating a complementary regional development model that enhances Guangdong’s overall industrial competitiveness.</w:t>
      </w:r>
    </w:p>
    <w:p>
      <w:r>
        <w:pict>
          <v:rect style="width:0;height:1.5pt" o:hralign="center" o:hrstd="t" o:hr="t"/>
        </w:pict>
      </w:r>
    </w:p>
    <w:bookmarkEnd w:id="29"/>
    <w:bookmarkEnd w:id="30"/>
    <w:bookmarkStart w:id="35" w:name="industrial-chain-collaboration-analysis"/>
    <w:p>
      <w:pPr>
        <w:pStyle w:val="Heading2"/>
      </w:pPr>
      <w:r>
        <w:t xml:space="preserve">5. Industrial Chain Collaboration Analysis</w:t>
      </w:r>
    </w:p>
    <w:p>
      <w:pPr>
        <w:pStyle w:val="FirstParagraph"/>
      </w:pPr>
      <w:r>
        <w:t xml:space="preserve">Guangdong has established a relatively complete integrated circuit industrial chain. In 2024, the province’s total IC industry output reached approximately RMB 360 billion, including RMB 210.9 billion from chip design (58.6%), RMB 79.5 billion from packaging and testing (22.1%), and RMB 60.8 billion from equipment and materials (16.9%).</w:t>
      </w:r>
    </w:p>
    <w:bookmarkStart w:id="31" w:name="X1e5fbd8bcbfff780e0bfdab75ca05650037b73e"/>
    <w:p>
      <w:pPr>
        <w:pStyle w:val="Heading3"/>
      </w:pPr>
      <w:r>
        <w:t xml:space="preserve">Table 5. Division of Labor Along Guangdong’s IC Industrial Chain</w:t>
      </w:r>
    </w:p>
    <w:tbl>
      <w:tblPr>
        <w:tblStyle w:val="Table"/>
        <w:tblW w:type="pct" w:w="5000"/>
        <w:tblLayout w:type="fixed"/>
        <w:tblLook w:firstRow="1" w:lastRow="0" w:firstColumn="0" w:lastColumn="0" w:noHBand="0" w:noVBand="0" w:val="0020"/>
      </w:tblPr>
      <w:tblGrid>
        <w:gridCol w:w="2596"/>
        <w:gridCol w:w="1687"/>
        <w:gridCol w:w="3635"/>
      </w:tblGrid>
      <w:tr>
        <w:trPr>
          <w:tblHeader w:val="on"/>
        </w:trPr>
        <w:tc>
          <w:tcPr/>
          <w:p>
            <w:pPr>
              <w:pStyle w:val="Compact"/>
            </w:pPr>
            <w:r>
              <w:t xml:space="preserve">Industrial Segment</w:t>
            </w:r>
          </w:p>
        </w:tc>
        <w:tc>
          <w:tcPr/>
          <w:p>
            <w:pPr>
              <w:pStyle w:val="Compact"/>
            </w:pPr>
            <w:r>
              <w:t xml:space="preserve">Major Cities</w:t>
            </w:r>
          </w:p>
        </w:tc>
        <w:tc>
          <w:tcPr/>
          <w:p>
            <w:pPr>
              <w:pStyle w:val="Compact"/>
            </w:pPr>
            <w:r>
              <w:t xml:space="preserve">Representative Enterprises</w:t>
            </w:r>
          </w:p>
        </w:tc>
      </w:tr>
      <w:tr>
        <w:tc>
          <w:tcPr/>
          <w:p>
            <w:pPr>
              <w:pStyle w:val="Compact"/>
            </w:pPr>
            <w:r>
              <w:t xml:space="preserve">Chip Design</w:t>
            </w:r>
          </w:p>
        </w:tc>
        <w:tc>
          <w:tcPr/>
          <w:p>
            <w:pPr>
              <w:pStyle w:val="Compact"/>
            </w:pPr>
            <w:r>
              <w:t xml:space="preserve">Shenzhen</w:t>
            </w:r>
          </w:p>
        </w:tc>
        <w:tc>
          <w:tcPr/>
          <w:p>
            <w:pPr>
              <w:pStyle w:val="Compact"/>
            </w:pPr>
            <w:r>
              <w:t xml:space="preserve">HiSilicon, Goodix, ZTE Microelectronics</w:t>
            </w:r>
          </w:p>
        </w:tc>
      </w:tr>
      <w:tr>
        <w:tc>
          <w:tcPr/>
          <w:p>
            <w:pPr>
              <w:pStyle w:val="Compact"/>
            </w:pPr>
            <w:r>
              <w:t xml:space="preserve">Wafer Manufacturing</w:t>
            </w:r>
          </w:p>
        </w:tc>
        <w:tc>
          <w:tcPr/>
          <w:p>
            <w:pPr>
              <w:pStyle w:val="Compact"/>
            </w:pPr>
            <w:r>
              <w:t xml:space="preserve">Guangzhou</w:t>
            </w:r>
          </w:p>
        </w:tc>
        <w:tc>
          <w:tcPr/>
          <w:p>
            <w:pPr>
              <w:pStyle w:val="Compact"/>
            </w:pPr>
            <w:r>
              <w:t xml:space="preserve">CanSemi</w:t>
            </w:r>
          </w:p>
        </w:tc>
      </w:tr>
      <w:tr>
        <w:tc>
          <w:tcPr/>
          <w:p>
            <w:pPr>
              <w:pStyle w:val="Compact"/>
            </w:pPr>
            <w:r>
              <w:t xml:space="preserve">Power Semiconductors</w:t>
            </w:r>
          </w:p>
        </w:tc>
        <w:tc>
          <w:tcPr/>
          <w:p>
            <w:pPr>
              <w:pStyle w:val="Compact"/>
            </w:pPr>
            <w:r>
              <w:t xml:space="preserve">Zhuhai</w:t>
            </w:r>
          </w:p>
        </w:tc>
        <w:tc>
          <w:tcPr/>
          <w:p>
            <w:pPr>
              <w:pStyle w:val="Compact"/>
            </w:pPr>
            <w:r>
              <w:t xml:space="preserve">Innoscience</w:t>
            </w:r>
          </w:p>
        </w:tc>
      </w:tr>
      <w:tr>
        <w:tc>
          <w:tcPr/>
          <w:p>
            <w:pPr>
              <w:pStyle w:val="Compact"/>
            </w:pPr>
            <w:r>
              <w:t xml:space="preserve">Packaging &amp; Testing</w:t>
            </w:r>
          </w:p>
        </w:tc>
        <w:tc>
          <w:tcPr/>
          <w:p>
            <w:pPr>
              <w:pStyle w:val="Compact"/>
            </w:pPr>
            <w:r>
              <w:t xml:space="preserve">Dongguan, Foshan, Zhongshan</w:t>
            </w:r>
          </w:p>
        </w:tc>
        <w:tc>
          <w:tcPr/>
          <w:p>
            <w:pPr>
              <w:pStyle w:val="Compact"/>
            </w:pPr>
            <w:r>
              <w:t xml:space="preserve">Tianyu Semiconductor and others</w:t>
            </w:r>
          </w:p>
        </w:tc>
      </w:tr>
      <w:tr>
        <w:tc>
          <w:tcPr/>
          <w:p>
            <w:pPr>
              <w:pStyle w:val="Compact"/>
            </w:pPr>
            <w:r>
              <w:t xml:space="preserve">End-User Applications</w:t>
            </w:r>
          </w:p>
        </w:tc>
        <w:tc>
          <w:tcPr/>
          <w:p>
            <w:pPr>
              <w:pStyle w:val="Compact"/>
            </w:pPr>
            <w:r>
              <w:t xml:space="preserve">Shenzhen, Dongguan</w:t>
            </w:r>
          </w:p>
        </w:tc>
        <w:tc>
          <w:tcPr/>
          <w:p>
            <w:pPr>
              <w:pStyle w:val="Compact"/>
            </w:pPr>
            <w:r>
              <w:t xml:space="preserve">Huawei, BYD, DJI</w:t>
            </w:r>
          </w:p>
        </w:tc>
      </w:tr>
    </w:tbl>
    <w:bookmarkEnd w:id="31"/>
    <w:bookmarkStart w:id="32" w:name="industrial-chain-completeness-assessment"/>
    <w:p>
      <w:pPr>
        <w:pStyle w:val="Heading3"/>
      </w:pPr>
      <w:r>
        <w:t xml:space="preserve">Industrial Chain Completeness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Segment</w:t>
            </w:r>
          </w:p>
        </w:tc>
        <w:tc>
          <w:tcPr/>
          <w:p>
            <w:pPr>
              <w:pStyle w:val="Compact"/>
            </w:pPr>
            <w:r>
              <w:t xml:space="preserve">Development Status</w:t>
            </w:r>
          </w:p>
        </w:tc>
      </w:tr>
      <w:tr>
        <w:tc>
          <w:tcPr/>
          <w:p>
            <w:pPr>
              <w:pStyle w:val="Compact"/>
            </w:pPr>
            <w:r>
              <w:t xml:space="preserve">Chip Design</w:t>
            </w:r>
          </w:p>
        </w:tc>
        <w:tc>
          <w:tcPr/>
          <w:p>
            <w:pPr>
              <w:pStyle w:val="Compact"/>
            </w:pPr>
            <w:r>
              <w:t xml:space="preserve">Strong Competitive Advantage</w:t>
            </w:r>
          </w:p>
        </w:tc>
      </w:tr>
      <w:tr>
        <w:tc>
          <w:tcPr/>
          <w:p>
            <w:pPr>
              <w:pStyle w:val="Compact"/>
            </w:pPr>
            <w:r>
              <w:t xml:space="preserve">Wafer Manufacturing</w:t>
            </w:r>
          </w:p>
        </w:tc>
        <w:tc>
          <w:tcPr/>
          <w:p>
            <w:pPr>
              <w:pStyle w:val="Compact"/>
            </w:pPr>
            <w:r>
              <w:t xml:space="preserve">Rapidly Improving</w:t>
            </w:r>
          </w:p>
        </w:tc>
      </w:tr>
      <w:tr>
        <w:tc>
          <w:tcPr/>
          <w:p>
            <w:pPr>
              <w:pStyle w:val="Compact"/>
            </w:pPr>
            <w:r>
              <w:t xml:space="preserve">Packaging &amp; Testing</w:t>
            </w:r>
          </w:p>
        </w:tc>
        <w:tc>
          <w:tcPr/>
          <w:p>
            <w:pPr>
              <w:pStyle w:val="Compact"/>
            </w:pPr>
            <w:r>
              <w:t xml:space="preserve">Well Established</w:t>
            </w:r>
          </w:p>
        </w:tc>
      </w:tr>
      <w:tr>
        <w:tc>
          <w:tcPr/>
          <w:p>
            <w:pPr>
              <w:pStyle w:val="Compact"/>
            </w:pPr>
            <w:r>
              <w:t xml:space="preserve">Equipment &amp; Materials</w:t>
            </w:r>
          </w:p>
        </w:tc>
        <w:tc>
          <w:tcPr/>
          <w:p>
            <w:pPr>
              <w:pStyle w:val="Compact"/>
            </w:pPr>
            <w:r>
              <w:t xml:space="preserve">Relatively Weak</w:t>
            </w:r>
          </w:p>
        </w:tc>
      </w:tr>
      <w:tr>
        <w:tc>
          <w:tcPr/>
          <w:p>
            <w:pPr>
              <w:pStyle w:val="Compact"/>
            </w:pPr>
            <w:r>
              <w:t xml:space="preserve">EDA Software</w:t>
            </w:r>
          </w:p>
        </w:tc>
        <w:tc>
          <w:tcPr/>
          <w:p>
            <w:pPr>
              <w:pStyle w:val="Compact"/>
            </w:pPr>
            <w:r>
              <w:t xml:space="preserve">Requires Further Development</w:t>
            </w:r>
          </w:p>
        </w:tc>
      </w:tr>
    </w:tbl>
    <w:bookmarkEnd w:id="32"/>
    <w:bookmarkStart w:id="33" w:name="evaluation-of-synergy-effects"/>
    <w:p>
      <w:pPr>
        <w:pStyle w:val="Heading3"/>
      </w:pPr>
      <w:r>
        <w:t xml:space="preserve">Evaluation of Synergy Effects</w:t>
      </w:r>
    </w:p>
    <w:p>
      <w:pPr>
        <w:pStyle w:val="FirstParagraph"/>
      </w:pPr>
      <w:r>
        <w:t xml:space="preserve">Shenzhen serves as the center for high-end chip design and innovation, Guangzhou provides wafer manufacturing capacity and strengthens industrial chain resilience, while Zhuhai focuses on third-generation semiconductors and power devices. Cities such as Dongguan, Foshan, and Zhongshan support packaging, testing, and end-product manufacturing.</w:t>
      </w:r>
    </w:p>
    <w:p>
      <w:pPr>
        <w:pStyle w:val="BodyText"/>
      </w:pPr>
      <w:r>
        <w:t xml:space="preserve">This regional collaboration model—</w:t>
      </w:r>
      <w:r>
        <w:t xml:space="preserve">“Design–Manufacturing–Packaging &amp; Testing–Application”</w:t>
      </w:r>
      <w:r>
        <w:t xml:space="preserve">—helps reduce supply chain costs, improve resource allocation efficiency, and strengthen Guangdong’s overall industrial competitiveness.</w:t>
      </w:r>
    </w:p>
    <w:bookmarkEnd w:id="33"/>
    <w:bookmarkStart w:id="34" w:name="analysis-conclusion-3"/>
    <w:p>
      <w:pPr>
        <w:pStyle w:val="Heading3"/>
      </w:pPr>
      <w:r>
        <w:t xml:space="preserve">Analysis Conclusion</w:t>
      </w:r>
    </w:p>
    <w:p>
      <w:pPr>
        <w:pStyle w:val="FirstParagraph"/>
      </w:pPr>
      <w:r>
        <w:t xml:space="preserve">Although Guangdong has established a relatively complete IC industrial chain, challenges remain in critical areas such as advanced semiconductor equipment, lithography technologies, and EDA software. Future development should focus on achieving breakthroughs in these key technologies to enhance industrial self-reliance and global competitiveness.</w:t>
      </w:r>
    </w:p>
    <w:p>
      <w:r>
        <w:pict>
          <v:rect style="width:0;height:1.5pt" o:hralign="center" o:hrstd="t" o:hr="t"/>
        </w:pict>
      </w:r>
    </w:p>
    <w:bookmarkEnd w:id="34"/>
    <w:bookmarkEnd w:id="35"/>
    <w:bookmarkStart w:id="37" w:name="conclusion"/>
    <w:p>
      <w:pPr>
        <w:pStyle w:val="Heading2"/>
      </w:pPr>
      <w:r>
        <w:t xml:space="preserve">6. Conclusion</w:t>
      </w:r>
    </w:p>
    <w:p>
      <w:pPr>
        <w:pStyle w:val="FirstParagraph"/>
      </w:pPr>
      <w:r>
        <w:t xml:space="preserve">Guangdong has developed a distinctive integrated circuit industry cluster system centered on Shenzhen, Guangzhou, and Zhuhai.</w:t>
      </w:r>
    </w:p>
    <w:p>
      <w:pPr>
        <w:pStyle w:val="BodyText"/>
      </w:pPr>
      <w:r>
        <w:t xml:space="preserve">With 727 enterprises and industrial revenue of RMB 283.96 billion, Shenzhen serves as the province’s primary innovation and growth engine. Guangzhou strengthens Guangdong’s manufacturing capabilities through wafer fabrication development, while Zhuhai has established a competitive advantage in third-generation semiconductors, particularly gallium nitride technologies.</w:t>
      </w:r>
    </w:p>
    <w:p>
      <w:pPr>
        <w:pStyle w:val="BodyText"/>
      </w:pPr>
      <w:r>
        <w:t xml:space="preserve">Supported by favorable policies, complementary location advantages, and strong industrial chain collaboration, Guangdong has formed a coordinated development model characterized by</w:t>
      </w:r>
      <w:r>
        <w:t xml:space="preserve"> </w:t>
      </w:r>
      <w:r>
        <w:t xml:space="preserve">“Shenzhen for R&amp;D and design, Guangzhou for wafer manufacturing, Zhuhai for specialty semiconductors, and the Pearl River Delta for packaging, testing, and end-user applications.”</w:t>
      </w:r>
    </w:p>
    <w:p>
      <w:pPr>
        <w:pStyle w:val="BodyText"/>
      </w:pPr>
      <w:r>
        <w:t xml:space="preserve">To further strengthen its position as a national leader in the IC industry, Guangdong should prioritize breakthroughs in advanced equipment, manufacturing processes, and EDA software while continuously improving technological innovation capacity and industrial chain resilience.</w:t>
      </w:r>
    </w:p>
    <w:bookmarkStart w:id="36" w:name="data-sources"/>
    <w:p>
      <w:pPr>
        <w:pStyle w:val="Heading3"/>
      </w:pPr>
      <w:r>
        <w:t xml:space="preserve">Data Sources</w:t>
      </w:r>
    </w:p>
    <w:p>
      <w:pPr>
        <w:pStyle w:val="FirstParagraph"/>
      </w:pPr>
      <w:r>
        <w:t xml:space="preserve">Guangdong Provincial Government, Guangdong Development and Reform Commission, Shenzhen Semiconductor Industry Association, Electronic Engineering Magazine, and other publicly available statistical and policy documents.</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2026-06-02T07:20:54Z</dcterms:created>
  <dcterms:modified xsi:type="dcterms:W3CDTF">2026-06-02T07:20:54Z</dcterms:modified>
</cp:coreProperties>
</file>

<file path=docProps/custom.xml><?xml version="1.0" encoding="utf-8"?>
<Properties xmlns="http://schemas.openxmlformats.org/officeDocument/2006/custom-properties" xmlns:vt="http://schemas.openxmlformats.org/officeDocument/2006/docPropsVTypes"/>
</file>