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EBA21">
      <w:pPr>
        <w:spacing w:line="360" w:lineRule="auto"/>
        <w:jc w:val="center"/>
        <w:rPr>
          <w:rFonts w:hint="default" w:ascii="Times New Roman" w:hAnsi="Times New Roman" w:cs="Times New Roman"/>
        </w:rPr>
      </w:pPr>
      <w:r>
        <w:rPr>
          <w:rFonts w:hint="default" w:ascii="Times New Roman" w:hAnsi="Times New Roman" w:cs="Times New Roman"/>
          <w:b/>
          <w:sz w:val="36"/>
        </w:rPr>
        <w:t>International Comparison Analysis of the Semiconductor Industry</w:t>
      </w:r>
    </w:p>
    <w:p w14:paraId="4D3356F2">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1. Global Comparison</w:t>
      </w:r>
    </w:p>
    <w:tbl>
      <w:tblPr>
        <w:tblStyle w:val="33"/>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3"/>
        <w:gridCol w:w="1987"/>
        <w:gridCol w:w="1506"/>
        <w:gridCol w:w="1905"/>
        <w:gridCol w:w="1505"/>
      </w:tblGrid>
      <w:tr w14:paraId="40B4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00D9A5C4">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Dimension</w:t>
            </w:r>
          </w:p>
        </w:tc>
        <w:tc>
          <w:tcPr>
            <w:tcW w:w="0" w:type="auto"/>
          </w:tcPr>
          <w:p w14:paraId="43AD3414">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China</w:t>
            </w:r>
            <w:bookmarkStart w:id="0" w:name="_GoBack"/>
            <w:bookmarkEnd w:id="0"/>
          </w:p>
        </w:tc>
        <w:tc>
          <w:tcPr>
            <w:tcW w:w="0" w:type="auto"/>
          </w:tcPr>
          <w:p w14:paraId="71D0B4C3">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United States</w:t>
            </w:r>
          </w:p>
        </w:tc>
        <w:tc>
          <w:tcPr>
            <w:tcW w:w="0" w:type="auto"/>
          </w:tcPr>
          <w:p w14:paraId="283E218C">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Germany</w:t>
            </w:r>
          </w:p>
        </w:tc>
        <w:tc>
          <w:tcPr>
            <w:tcW w:w="1505" w:type="dxa"/>
          </w:tcPr>
          <w:p w14:paraId="2AB9AE7E">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Japan</w:t>
            </w:r>
          </w:p>
        </w:tc>
      </w:tr>
      <w:tr w14:paraId="5FC42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5B98666B">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Technological Barrier</w:t>
            </w:r>
          </w:p>
        </w:tc>
        <w:tc>
          <w:tcPr>
            <w:tcW w:w="0" w:type="auto"/>
          </w:tcPr>
          <w:p w14:paraId="4ABB6A52">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Medium-High</w:t>
            </w:r>
          </w:p>
        </w:tc>
        <w:tc>
          <w:tcPr>
            <w:tcW w:w="0" w:type="auto"/>
          </w:tcPr>
          <w:p w14:paraId="5707122E">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Very High</w:t>
            </w:r>
          </w:p>
        </w:tc>
        <w:tc>
          <w:tcPr>
            <w:tcW w:w="0" w:type="auto"/>
          </w:tcPr>
          <w:p w14:paraId="426F43EA">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05" w:type="dxa"/>
          </w:tcPr>
          <w:p w14:paraId="183CE91C">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0182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17072BF1">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Core Strength</w:t>
            </w:r>
          </w:p>
        </w:tc>
        <w:tc>
          <w:tcPr>
            <w:tcW w:w="0" w:type="auto"/>
          </w:tcPr>
          <w:p w14:paraId="00C99A58">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Manufacturing &amp; Packaging</w:t>
            </w:r>
          </w:p>
        </w:tc>
        <w:tc>
          <w:tcPr>
            <w:tcW w:w="0" w:type="auto"/>
          </w:tcPr>
          <w:p w14:paraId="7AB551B6">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Chip Design &amp; EDA</w:t>
            </w:r>
          </w:p>
        </w:tc>
        <w:tc>
          <w:tcPr>
            <w:tcW w:w="0" w:type="auto"/>
          </w:tcPr>
          <w:p w14:paraId="136A18B2">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Industrial Chips</w:t>
            </w:r>
          </w:p>
        </w:tc>
        <w:tc>
          <w:tcPr>
            <w:tcW w:w="1505" w:type="dxa"/>
          </w:tcPr>
          <w:p w14:paraId="0F41ACD4">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Materials &amp; Equipment</w:t>
            </w:r>
          </w:p>
        </w:tc>
      </w:tr>
      <w:tr w14:paraId="48B8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32E7FF61">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Cluster Model</w:t>
            </w:r>
          </w:p>
        </w:tc>
        <w:tc>
          <w:tcPr>
            <w:tcW w:w="0" w:type="auto"/>
          </w:tcPr>
          <w:p w14:paraId="12EAB747">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Government-led + Market-driven</w:t>
            </w:r>
          </w:p>
        </w:tc>
        <w:tc>
          <w:tcPr>
            <w:tcW w:w="0" w:type="auto"/>
          </w:tcPr>
          <w:p w14:paraId="1D11752A">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Innovation-driven</w:t>
            </w:r>
          </w:p>
        </w:tc>
        <w:tc>
          <w:tcPr>
            <w:tcW w:w="0" w:type="auto"/>
          </w:tcPr>
          <w:p w14:paraId="7FB3CDF0">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Industry-Academia Collaboration</w:t>
            </w:r>
          </w:p>
        </w:tc>
        <w:tc>
          <w:tcPr>
            <w:tcW w:w="1505" w:type="dxa"/>
          </w:tcPr>
          <w:p w14:paraId="04FA2DD1">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Industrial Ecosystem</w:t>
            </w:r>
          </w:p>
        </w:tc>
      </w:tr>
      <w:tr w14:paraId="6D31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Pr>
          <w:p w14:paraId="09BB1FF5">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Policy Support</w:t>
            </w:r>
          </w:p>
        </w:tc>
        <w:tc>
          <w:tcPr>
            <w:tcW w:w="0" w:type="auto"/>
          </w:tcPr>
          <w:p w14:paraId="1F737B39">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Strong</w:t>
            </w:r>
          </w:p>
        </w:tc>
        <w:tc>
          <w:tcPr>
            <w:tcW w:w="0" w:type="auto"/>
          </w:tcPr>
          <w:p w14:paraId="7F7AAEA8">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Strong</w:t>
            </w:r>
          </w:p>
        </w:tc>
        <w:tc>
          <w:tcPr>
            <w:tcW w:w="0" w:type="auto"/>
          </w:tcPr>
          <w:p w14:paraId="6DC3BAAB">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Moderate</w:t>
            </w:r>
          </w:p>
        </w:tc>
        <w:tc>
          <w:tcPr>
            <w:tcW w:w="1505" w:type="dxa"/>
          </w:tcPr>
          <w:p w14:paraId="5B3E2AD3">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Strong</w:t>
            </w:r>
          </w:p>
        </w:tc>
      </w:tr>
      <w:tr w14:paraId="7EB1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53" w:type="dxa"/>
          </w:tcPr>
          <w:p w14:paraId="7565DA40">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Global Competitiveness</w:t>
            </w:r>
          </w:p>
        </w:tc>
        <w:tc>
          <w:tcPr>
            <w:tcW w:w="1987" w:type="dxa"/>
          </w:tcPr>
          <w:p w14:paraId="50105D9A">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06" w:type="dxa"/>
          </w:tcPr>
          <w:p w14:paraId="616006E0">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Very High</w:t>
            </w:r>
          </w:p>
        </w:tc>
        <w:tc>
          <w:tcPr>
            <w:tcW w:w="1905" w:type="dxa"/>
          </w:tcPr>
          <w:p w14:paraId="6EBF9ADC">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05" w:type="dxa"/>
          </w:tcPr>
          <w:p w14:paraId="424EDE93">
            <w:pPr>
              <w:snapToGrid w:val="0"/>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High</w:t>
            </w:r>
          </w:p>
        </w:tc>
      </w:tr>
    </w:tbl>
    <w:p w14:paraId="56103D63">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2. United States</w:t>
      </w:r>
    </w:p>
    <w:p w14:paraId="32550E4C">
      <w:pPr>
        <w:bidi w:val="0"/>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The United States leads the world in chip design, EDA software, venture capital support, and university-driven innovation. Major semiconductor clusters include Silicon Valley, Austin, and Phoenix. The U.S. semiconductor ecosystem is characterized by strong links among leading technology companies, research universities, venture capital institutions, and federal research programs. Companies such as NVIDIA, AMD, Qualcomm, and Intel maintain significant advantages in advanced chip architecture, AI accelerators, and semiconductor intellectual property. Continuous investment in R&amp;D and talent development enables the United States to remain at the forefront of next-generation semiconductor technologies.</w:t>
      </w:r>
    </w:p>
    <w:p w14:paraId="70B03C10">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3. Germany</w:t>
      </w:r>
    </w:p>
    <w:p w14:paraId="770C9CAC">
      <w:pPr>
        <w:bidi w:val="0"/>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Germany focuses on industrial semiconductors, automotive electronics, power devices, and intelligent manufacturing applications. Its competitive advantage comes from close cooperation among enterprises, universities, and research institutes, forming a highly coordinated innovation system. Germany benefits from strong industrial demand from the automotive and machinery sectors, creating a stable market for semiconductor innovation. The country's emphasis on precision engineering, vocational education, and long-term industrial policy has supported the development of globally competitive semiconductor firms and research centers.</w:t>
      </w:r>
    </w:p>
    <w:p w14:paraId="4CF1571C">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4. Japan</w:t>
      </w:r>
    </w:p>
    <w:p w14:paraId="0CAEEA8C">
      <w:pPr>
        <w:bidi w:val="0"/>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Japan maintains strong competitiveness in semiconductor materials, manufacturing equipment, and supply-chain management, supported by decades of technology accumulation. Japanese companies hold leading positions in semiconductor wafers, photoresists, specialty chemicals, and precision manufacturing equipment. The country's strengths lie in quality control, advanced manufacturing processes, and deep integration across the semiconductor supply chain. Although Japan's share in chip design has declined compared with previous decades, its upstream technological capabilities remain indispensable to the global semiconductor industry.</w:t>
      </w:r>
    </w:p>
    <w:p w14:paraId="43654CC9">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5. Lessons for China</w:t>
      </w:r>
    </w:p>
    <w:p w14:paraId="72C71EFB">
      <w:pPr>
        <w:numPr>
          <w:ilvl w:val="0"/>
          <w:numId w:val="7"/>
        </w:numPr>
        <w:bidi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Strengthen original innovation capability by increasing investment in fundamental research, frontier technologies, and high-end semiconductor talent cultivation.</w:t>
      </w:r>
    </w:p>
    <w:p w14:paraId="783EEC1E">
      <w:pPr>
        <w:numPr>
          <w:ilvl w:val="0"/>
          <w:numId w:val="7"/>
        </w:numPr>
        <w:bidi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Promote deeper industry-academia-research collaboration to accelerate technology commercialization and improve the efficiency of innovation ecosystems.</w:t>
      </w:r>
    </w:p>
    <w:p w14:paraId="4AABEB90">
      <w:pPr>
        <w:numPr>
          <w:ilvl w:val="0"/>
          <w:numId w:val="7"/>
        </w:numPr>
        <w:bidi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Improve domestic EDA software, semiconductor equipment, and core intellectual property capabilities to reduce dependence on external technologies.</w:t>
      </w:r>
    </w:p>
    <w:p w14:paraId="4A30A341">
      <w:pPr>
        <w:numPr>
          <w:ilvl w:val="0"/>
          <w:numId w:val="7"/>
        </w:numPr>
        <w:bidi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Enhance supply-chain resilience, advanced materials development, and strategic resource security to support long-term industrial sustainability.</w:t>
      </w:r>
    </w:p>
    <w:p w14:paraId="3D0BF9E0">
      <w:pPr>
        <w:pStyle w:val="3"/>
        <w:numPr>
          <w:ilvl w:val="0"/>
          <w:numId w:val="8"/>
        </w:numPr>
        <w:spacing w:line="360" w:lineRule="auto"/>
        <w:rPr>
          <w:rFonts w:hint="default" w:ascii="Times New Roman" w:hAnsi="Times New Roman" w:cs="Times New Roman"/>
          <w:color w:val="auto"/>
        </w:rPr>
      </w:pPr>
      <w:r>
        <w:rPr>
          <w:rFonts w:hint="default" w:ascii="Times New Roman" w:hAnsi="Times New Roman" w:cs="Times New Roman"/>
          <w:color w:val="auto"/>
        </w:rPr>
        <w:t>Conclusion</w:t>
      </w:r>
    </w:p>
    <w:p w14:paraId="30C95EAD">
      <w:pPr>
        <w:bidi w:val="0"/>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Compared with the United States, Germany, and Japan, China has significant advantages in market size, manufacturing capacity, industrial scale, and policy support. China has also established a relatively complete semiconductor value chain covering design, manufacturing, packaging, testing, and application markets. However, further improvements are needed in original innovation, advanced EDA software, high-end manufacturing equipment, and upstream materials. By strengthening technological self-reliance, improving innovation efficiency, and deepening international cooperation where appropriate, China can further enhance its position and competitiveness within the global semiconductor industry.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汉仪劲楷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FA02D1"/>
    <w:multiLevelType w:val="singleLevel"/>
    <w:tmpl w:val="D8FA02D1"/>
    <w:lvl w:ilvl="0" w:tentative="0">
      <w:start w:val="1"/>
      <w:numFmt w:val="bullet"/>
      <w:lvlText w:val=""/>
      <w:lvlJc w:val="left"/>
      <w:pPr>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4202787D"/>
    <w:multiLevelType w:val="singleLevel"/>
    <w:tmpl w:val="4202787D"/>
    <w:lvl w:ilvl="0" w:tentative="0">
      <w:start w:val="6"/>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163A3C"/>
    <w:rsid w:val="564571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457</Words>
  <Characters>3384</Characters>
  <Lines>0</Lines>
  <Paragraphs>0</Paragraphs>
  <TotalTime>5</TotalTime>
  <ScaleCrop>false</ScaleCrop>
  <LinksUpToDate>false</LinksUpToDate>
  <CharactersWithSpaces>3796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睡到自然醒</cp:lastModifiedBy>
  <dcterms:modified xsi:type="dcterms:W3CDTF">2026-06-01T08:23:09Z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eyJoZGlkIjoiODk3NjA3YjQ0M2E3ZWMxN2NkMzY3NTEwMTVmMWEyZTciLCJ1c2VySWQiOiI4ODczNzYwNDYifQ==</vt:lpwstr>
  </property>
  <property fmtid="{D5CDD505-2E9C-101B-9397-08002B2CF9AE}" pid="3" name="KSOProductBuildVer">
    <vt:lpwstr>2052-12.1.0.26375</vt:lpwstr>
  </property>
  <property fmtid="{D5CDD505-2E9C-101B-9397-08002B2CF9AE}" pid="4" name="ICV">
    <vt:lpwstr>5CB8FB832EC44833877A08DE2953107D_12</vt:lpwstr>
  </property>
</Properties>
</file>