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</w:rPr>
      </w:pPr>
      <w:bookmarkStart w:id="0" w:name="_GoBack"/>
      <w:r>
        <w:rPr>
          <w:rFonts w:hint="default"/>
        </w:rPr>
        <w:t>Provincial Cluster Analysis – Industrial Chains and Enterprises</w:t>
      </w:r>
    </w:p>
    <w:bookmarkEnd w:id="0"/>
    <w:p>
      <w:pPr>
        <w:bidi w:val="0"/>
      </w:pPr>
      <w:r>
        <w:rPr>
          <w:rFonts w:hint="default"/>
        </w:rPr>
        <w:t>Guangdong Province has formed a "3+N" industrial pattern, led by three core cities—Shenzhen, Guangzhou, and Zhuhai—with coordinated development in Foshan, Dongguan, Zhongshan, and others. This differentiated positioning has built a full ecosystem covering design, manufacturing, packaging, and testing.</w:t>
      </w:r>
    </w:p>
    <w:p>
      <w:pPr>
        <w:pStyle w:val="3"/>
        <w:numPr>
          <w:ilvl w:val="0"/>
          <w:numId w:val="1"/>
        </w:numPr>
        <w:bidi w:val="0"/>
      </w:pPr>
      <w:r>
        <w:t>Industry Chain Analysis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1335"/>
        <w:gridCol w:w="1818"/>
        <w:gridCol w:w="1934"/>
        <w:gridCol w:w="343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Core Cluster</w:t>
            </w:r>
          </w:p>
        </w:tc>
        <w:tc>
          <w:tcPr>
            <w:tcW w:w="1818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Strategic Positioning</w:t>
            </w:r>
          </w:p>
        </w:tc>
        <w:tc>
          <w:tcPr>
            <w:tcW w:w="1934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Key Focus Areas</w:t>
            </w:r>
          </w:p>
        </w:tc>
        <w:tc>
          <w:tcPr>
            <w:tcW w:w="3435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Core Advantages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  <w:tcBorders>
              <w:top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Shenzhen Cluster</w:t>
            </w:r>
          </w:p>
        </w:tc>
        <w:tc>
          <w:tcPr>
            <w:tcW w:w="1818" w:type="dxa"/>
            <w:tcBorders>
              <w:top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Design-led,full-chain dominance</w:t>
            </w:r>
          </w:p>
        </w:tc>
        <w:tc>
          <w:tcPr>
            <w:tcW w:w="1934" w:type="dxa"/>
            <w:tcBorders>
              <w:top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IC design, advanced manufacturing, packaging &amp; testing, equipment &amp; materials</w:t>
            </w:r>
          </w:p>
        </w:tc>
        <w:tc>
          <w:tcPr>
            <w:tcW w:w="3435" w:type="dxa"/>
            <w:tcBorders>
              <w:top w:val="single" w:color="auto" w:sz="12" w:space="0"/>
            </w:tcBorders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Complete industrial chain. In 2024, revenue reached RMB 283.96 billion, accounting for over 70% of the province's total. With more than 700 companies, Shenzhen boasts strong market-driven innovation and leading players across all segments.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</w:tcPr>
          <w:tbl>
            <w:tblPr>
              <w:tblW w:w="0" w:type="auto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58"/>
              <w:gridCol w:w="246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40" w:lineRule="auto"/>
                    <w:jc w:val="left"/>
                    <w:rPr>
                      <w:rFonts w:hint="default" w:ascii="Times New Roman" w:hAnsi="Times New Roman" w:eastAsia="Segoe UI" w:cs="Times New Roman"/>
                      <w:i w:val="0"/>
                      <w:caps w:val="0"/>
                      <w:color w:val="0F1115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Times New Roman" w:hAnsi="Times New Roman" w:eastAsia="Segoe UI" w:cs="Times New Roman"/>
                      <w:i w:val="0"/>
                      <w:caps w:val="0"/>
                      <w:color w:val="0F1115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lang w:val="en-US" w:eastAsia="zh-CN" w:bidi="ar"/>
                    </w:rPr>
                    <w:t>Guangzhou Cluster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spacing w:line="240" w:lineRule="auto"/>
                    <w:rPr>
                      <w:rFonts w:hint="default" w:ascii="Times New Roman" w:hAnsi="Times New Roman" w:eastAsia="Segoe UI" w:cs="Times New Roman"/>
                      <w:i w:val="0"/>
                      <w:caps w:val="0"/>
                      <w:color w:val="0F1115"/>
                      <w:spacing w:val="0"/>
                      <w:sz w:val="16"/>
                      <w:szCs w:val="16"/>
                    </w:rPr>
                  </w:pPr>
                </w:p>
              </w:tc>
            </w:tr>
          </w:tbl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</w:p>
        </w:tc>
        <w:tc>
          <w:tcPr>
            <w:tcW w:w="1818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Manufacturing-driven, ecosystem anchor</w:t>
            </w:r>
          </w:p>
        </w:tc>
        <w:tc>
          <w:tcPr>
            <w:tcW w:w="1934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Wafer</w:t>
            </w:r>
            <w:r>
              <w:rPr>
                <w:rFonts w:hint="eastAsia" w:eastAsia="宋体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manufacturing (12-inch), compound semiconductors, automotive chips</w:t>
            </w:r>
          </w:p>
        </w:tc>
        <w:tc>
          <w:tcPr>
            <w:tcW w:w="3435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Breakthrough in manufacturing. Led by CanSemi, the cluster has attracted over 150 upstream and downstream companies, filling the manufacturing gap in the Pearl River Delta. IC output grew by 68.9% year-on-year in 2024. The Huangpu District's Knowledge City is the core manufacturing hub.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Zhuhai Cluster</w:t>
            </w:r>
          </w:p>
        </w:tc>
        <w:tc>
          <w:tcPr>
            <w:tcW w:w="1818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Design-focused,niche breakthroughs</w:t>
            </w:r>
          </w:p>
        </w:tc>
        <w:tc>
          <w:tcPr>
            <w:tcW w:w="1934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IC design (multimedia, connectivity), compound semiconductors (GaN)</w:t>
            </w:r>
          </w:p>
        </w:tc>
        <w:tc>
          <w:tcPr>
            <w:tcW w:w="3435" w:type="dxa"/>
          </w:tcPr>
          <w:p>
            <w:pPr>
              <w:spacing w:line="240" w:lineRule="auto"/>
              <w:rPr>
                <w:rFonts w:hint="default" w:ascii="Times New Roman" w:hAnsi="Times New Roman" w:cs="Times New Roman"/>
                <w:sz w:val="36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>Design as the core. Leveraging Zhuhai High-tech Zone, the design segment has grown at an average annual rate of over 20% in recent years. The city has established a RMB 100 million industry fund to support niche design firms, while also expanding into compound semiconductor manufacturing.</w:t>
            </w:r>
          </w:p>
        </w:tc>
      </w:tr>
    </w:tbl>
    <w:p/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</w:pPr>
      <w:r>
        <w:t>Key Enterprises and "Chain Leader" Dynamics</w:t>
      </w:r>
    </w:p>
    <w:p>
      <w:pPr>
        <w:bidi w:val="0"/>
        <w:rPr>
          <w:rFonts w:hint="default"/>
        </w:rPr>
      </w:pPr>
      <w:r>
        <w:rPr>
          <w:rFonts w:hint="default"/>
        </w:rPr>
        <w:t>A key driver of cluster development is the vertical integration capability of leading enterprises, or "chain leaders." The most representative example is CanSemi in Guangzhou's Huangpu District:</w:t>
      </w: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Capacity expansion and technology upgrading</w:t>
      </w:r>
      <w:r>
        <w:rPr>
          <w:rFonts w:hint="default"/>
          <w:b/>
          <w:bCs/>
        </w:rPr>
        <w:br w:type="textWrapping"/>
      </w:r>
      <w:r>
        <w:rPr>
          <w:rFonts w:hint="default"/>
        </w:rPr>
        <w:t>As the first 12-inch wafer foundry in the Greater Bay Area to enter mass production, CanSemi has launched four phases of projects. Its fourth-phase investment of RMB 25.2 billion aims to transform from a pure analog foundry into a hybrid technology platform focused on "analog core, digital upgrade, and optoelectronics integration."</w:t>
      </w:r>
    </w:p>
    <w:p>
      <w:pPr>
        <w:bidi w:val="0"/>
        <w:rPr>
          <w:rFonts w:hint="default"/>
        </w:rPr>
      </w:pPr>
      <w:r>
        <w:rPr>
          <w:rFonts w:hint="default"/>
          <w:b/>
          <w:bCs/>
        </w:rPr>
        <w:t>Full-industry-chain agglomeration</w:t>
      </w:r>
      <w:r>
        <w:rPr>
          <w:rFonts w:hint="default"/>
          <w:b/>
          <w:bCs/>
        </w:rPr>
        <w:br w:type="textWrapping"/>
      </w:r>
      <w:r>
        <w:rPr>
          <w:rFonts w:hint="default"/>
        </w:rPr>
        <w:t>With CanSemi as the anchor, the Guangzhou Development Zone has gathered over 150 IC companies, forming a complete ecosystem of "design → manufacturing → packaging &amp; testing → equipment/materials → end applications."</w:t>
      </w:r>
    </w:p>
    <w:p>
      <w:pPr>
        <w:bidi w:val="0"/>
      </w:pPr>
      <w:r>
        <w:rPr>
          <w:rFonts w:hint="default"/>
          <w:b/>
          <w:bCs/>
        </w:rPr>
        <w:t>Spatial synergy</w:t>
      </w:r>
      <w:r>
        <w:rPr>
          <w:rFonts w:hint="default"/>
          <w:b/>
          <w:bCs/>
        </w:rPr>
        <w:br w:type="textWrapping"/>
      </w:r>
      <w:r>
        <w:rPr>
          <w:rFonts w:hint="default"/>
        </w:rPr>
        <w:t>Huangpu District has achieved a refined spatial division:</w:t>
      </w:r>
    </w:p>
    <w:p>
      <w:pPr>
        <w:numPr>
          <w:ilvl w:val="0"/>
          <w:numId w:val="2"/>
        </w:numPr>
        <w:bidi w:val="0"/>
      </w:pPr>
      <w:r>
        <w:t>Knowledge City (North): Manufacturing</w:t>
      </w:r>
    </w:p>
    <w:p>
      <w:pPr>
        <w:numPr>
          <w:ilvl w:val="0"/>
          <w:numId w:val="2"/>
        </w:numPr>
        <w:bidi w:val="0"/>
      </w:pPr>
      <w:r>
        <w:rPr>
          <w:rFonts w:hint="default"/>
        </w:rPr>
        <w:t>Science City (Central): Design innovation</w:t>
      </w:r>
    </w:p>
    <w:p>
      <w:pPr>
        <w:numPr>
          <w:ilvl w:val="0"/>
          <w:numId w:val="2"/>
        </w:numPr>
        <w:bidi w:val="0"/>
      </w:pPr>
      <w:r>
        <w:rPr>
          <w:rFonts w:hint="default"/>
        </w:rPr>
        <w:t>Port Area (South): End applications</w:t>
      </w:r>
      <w:r>
        <w:rPr>
          <w:rFonts w:hint="default"/>
        </w:rPr>
        <w:br w:type="textWrapping"/>
      </w:r>
      <w:r>
        <w:rPr>
          <w:rFonts w:hint="default"/>
        </w:rPr>
        <w:t>This layout accelerates coordination from R&amp;D to commercial deployment.</w:t>
      </w:r>
    </w:p>
    <w:p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Notable Local Champions</w:t>
      </w:r>
    </w:p>
    <w:tbl>
      <w:tblPr>
        <w:tblStyle w:val="7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1171"/>
        <w:gridCol w:w="2860"/>
        <w:gridCol w:w="449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2860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Representative Company</w:t>
            </w:r>
          </w:p>
        </w:tc>
        <w:tc>
          <w:tcPr>
            <w:tcW w:w="449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 Role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rPr>
          <w:trHeight w:val="1073" w:hRule="atLeast"/>
        </w:trPr>
        <w:tc>
          <w:tcPr>
            <w:tcW w:w="1171" w:type="dxa"/>
          </w:tcPr>
          <w:tbl>
            <w:tblPr>
              <w:tblW w:w="47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350"/>
              <w:gridCol w:w="1390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c>
                <w:tcPr>
                  <w:tcW w:w="3350" w:type="dxa"/>
                  <w:shd w:val="clear" w:color="auto" w:fill="FFFFFF"/>
                  <w:tcMar>
                    <w:top w:w="75" w:type="dxa"/>
                    <w:left w:w="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bidi w:val="0"/>
                    <w:rPr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  <w:lang w:val="en-US" w:eastAsia="zh-CN"/>
                    </w:rPr>
                    <w:t>Shenzhen</w:t>
                  </w:r>
                </w:p>
              </w:tc>
              <w:tc>
                <w:tcPr>
                  <w:tcW w:w="1390" w:type="dxa"/>
                  <w:shd w:val="clear" w:color="auto" w:fill="FFFFFF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bidi w:val="0"/>
                    <w:rPr>
                      <w:rFonts w:hint="default"/>
                      <w:sz w:val="20"/>
                      <w:szCs w:val="20"/>
                    </w:rPr>
                  </w:pPr>
                </w:p>
              </w:tc>
            </w:tr>
          </w:tbl>
          <w:p>
            <w:pPr>
              <w:bidi w:val="0"/>
              <w:rPr>
                <w:sz w:val="20"/>
                <w:szCs w:val="20"/>
              </w:rPr>
            </w:pPr>
          </w:p>
        </w:tc>
        <w:tc>
          <w:tcPr>
            <w:tcW w:w="2860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HiSilicon (Huawei),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sz w:val="20"/>
                <w:szCs w:val="20"/>
              </w:rPr>
              <w:t>ZTE Microelectronics, SMIC, Shennan Circuits</w:t>
            </w:r>
          </w:p>
        </w:tc>
        <w:tc>
          <w:tcPr>
            <w:tcW w:w="449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 leadership (HiSilicon ranks among global top 10 fabless), advanced foundry, high-end PCB substrates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Guangzhou</w:t>
            </w:r>
          </w:p>
        </w:tc>
        <w:tc>
          <w:tcPr>
            <w:tcW w:w="2860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CanSemi, GTA Semiconductor, Unisoc (Guangzhou)</w:t>
            </w:r>
          </w:p>
        </w:tc>
        <w:tc>
          <w:tcPr>
            <w:tcW w:w="449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12-inch analog/power wafer foundry; MCU, FPGA, and automotive chips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117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Zhuhai</w:t>
            </w:r>
          </w:p>
        </w:tc>
        <w:tc>
          <w:tcPr>
            <w:tcW w:w="2860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Allwinner Technology, Jieli Technology, Innoscience</w:t>
            </w:r>
          </w:p>
        </w:tc>
        <w:tc>
          <w:tcPr>
            <w:tcW w:w="4491" w:type="dxa"/>
          </w:tcPr>
          <w:p>
            <w:pPr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Smart audio/visual SoCs, Bluetooth chips, and 8-inch GaN-on-Si mass production</w:t>
            </w:r>
          </w:p>
        </w:tc>
      </w:tr>
    </w:tbl>
    <w:p>
      <w:pPr>
        <w:bidi w:val="0"/>
      </w:pPr>
      <w:r>
        <w:rPr>
          <w:rFonts w:hint="default"/>
        </w:rPr>
        <w:t>Conclusion: Outlook</w:t>
      </w:r>
    </w:p>
    <w:p>
      <w:pPr>
        <w:bidi w:val="0"/>
        <w:rPr>
          <w:rFonts w:hint="default"/>
        </w:rPr>
      </w:pPr>
      <w:r>
        <w:rPr>
          <w:rFonts w:hint="default"/>
        </w:rPr>
        <w:t>Guangdong is accelerating its path to becoming "China's third IC pole" (after Shanghai and Beijing) through a model of market pull + manufacturing catch-up + chain-leader drive.</w:t>
      </w:r>
    </w:p>
    <w:p>
      <w:pPr>
        <w:bidi w:val="0"/>
      </w:pPr>
    </w:p>
    <w:p>
      <w:pPr>
        <w:bidi w:val="0"/>
      </w:pPr>
      <w:r>
        <w:t>Core strengths:</w:t>
      </w:r>
    </w:p>
    <w:p>
      <w:pPr>
        <w:numPr>
          <w:ilvl w:val="0"/>
          <w:numId w:val="3"/>
        </w:numPr>
        <w:bidi w:val="0"/>
        <w:ind w:left="420" w:leftChars="0" w:hanging="420" w:firstLineChars="0"/>
      </w:pPr>
      <w:r>
        <w:t>Massive local application markets (home appliances, EVs, consumer electronics)</w:t>
      </w:r>
    </w:p>
    <w:p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rFonts w:hint="default"/>
        </w:rPr>
        <w:t>Strong chain-leader capabilities</w:t>
      </w:r>
    </w:p>
    <w:p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rFonts w:hint="default"/>
        </w:rPr>
        <w:t>Cross-city complementarity rather than duplication</w:t>
      </w:r>
    </w:p>
    <w:p>
      <w:pPr>
        <w:bidi w:val="0"/>
      </w:pPr>
      <w:r>
        <w:t>Future focus:</w:t>
      </w:r>
    </w:p>
    <w:p>
      <w:pPr>
        <w:numPr>
          <w:ilvl w:val="0"/>
          <w:numId w:val="3"/>
        </w:numPr>
        <w:bidi w:val="0"/>
        <w:ind w:left="420" w:leftChars="0" w:hanging="420" w:firstLineChars="0"/>
      </w:pPr>
      <w:r>
        <w:t>Silicon photonics and advanced packaging</w:t>
      </w:r>
    </w:p>
    <w:p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rFonts w:hint="default"/>
        </w:rPr>
        <w:t>Deepening the "design–manufacturing–application" closed-loop synergy</w:t>
      </w:r>
    </w:p>
    <w:p>
      <w:pPr>
        <w:numPr>
          <w:numId w:val="0"/>
        </w:numPr>
        <w:bidi w:val="0"/>
        <w:ind w:leftChars="0"/>
      </w:pPr>
    </w:p>
    <w:p>
      <w:pPr>
        <w:bidi w:val="0"/>
      </w:pPr>
      <w:r>
        <w:t>As projects like CanSemi Phase IV mature and 15th Five-Year Plan initiatives (2026–2030) take shape, Guangdong is evolving from a collection of city-level IC clusters into a unified, super-large Greater Bay Area IC ecosystem.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正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西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429781"/>
    <w:multiLevelType w:val="multilevel"/>
    <w:tmpl w:val="B54297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683931"/>
    <w:multiLevelType w:val="singleLevel"/>
    <w:tmpl w:val="E06839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665EA8D"/>
    <w:multiLevelType w:val="singleLevel"/>
    <w:tmpl w:val="F665EA8D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5E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30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rFonts w:ascii="Times New Roman" w:hAnsi="Times New Roman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2026-05-31T07:44:06Z</dcterms:created>
  <dc:creator>71041</dc:creator>
  <cp:lastModifiedBy>CC</cp:lastModifiedBy>
  <dcterms:modified xsi:type="dcterms:W3CDTF">2026-05-31T08:11:50Z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