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rPr>
      </w:pPr>
      <w:r>
        <w:rPr>
          <w:rFonts w:hint="default"/>
        </w:rPr>
        <w:t>Policy Support Comparison: Guangdong Province vs. Major International Regions (US, EU, Japan, South Korea)</w:t>
      </w:r>
    </w:p>
    <w:p>
      <w:pPr>
        <w:pStyle w:val="3"/>
        <w:bidi w:val="0"/>
      </w:pPr>
      <w:r>
        <w:rPr>
          <w:rFonts w:hint="default"/>
        </w:rPr>
        <w:t>I. Strategic Logic: From "Market Support" to "Security &amp; Resilience"</w:t>
      </w:r>
    </w:p>
    <w:p>
      <w:pPr>
        <w:pStyle w:val="7"/>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sz w:val="18"/>
          <w:szCs w:val="18"/>
          <w:shd w:val="clear" w:fill="FFFFFF"/>
        </w:rPr>
        <w:t>Guangdong Province has built a strong IC design sector and a massive downstream application market (exceeding RMB 220 billion in revenue). However, its policy logic has traditionally focused on </w:t>
      </w:r>
      <w:r>
        <w:rPr>
          <w:rFonts w:hint="default" w:ascii="Segoe UI" w:hAnsi="Segoe UI" w:eastAsia="Segoe UI" w:cs="Segoe UI"/>
          <w:b/>
          <w:i w:val="0"/>
          <w:caps w:val="0"/>
          <w:color w:val="0F1115"/>
          <w:spacing w:val="0"/>
          <w:sz w:val="18"/>
          <w:szCs w:val="18"/>
          <w:shd w:val="clear" w:fill="FFFFFF"/>
        </w:rPr>
        <w:t>industrial matching and import substitution</w:t>
      </w:r>
      <w:r>
        <w:rPr>
          <w:rFonts w:hint="default" w:ascii="Segoe UI" w:hAnsi="Segoe UI" w:eastAsia="Segoe UI" w:cs="Segoe UI"/>
          <w:i w:val="0"/>
          <w:caps w:val="0"/>
          <w:color w:val="0F1115"/>
          <w:spacing w:val="0"/>
          <w:sz w:val="18"/>
          <w:szCs w:val="18"/>
          <w:shd w:val="clear" w:fill="FFFFFF"/>
        </w:rPr>
        <w:t>—leveraging its manufacturing base to fill gaps in chip fabrication and meet an annual import demand of approximately USD 145 billion.</w:t>
      </w:r>
    </w:p>
    <w:p>
      <w:pPr>
        <w:pStyle w:val="7"/>
        <w:keepNext w:val="0"/>
        <w:keepLines w:val="0"/>
        <w:widowControl/>
        <w:suppressLineNumbers w:val="0"/>
        <w:shd w:val="clear" w:fill="FFFFFF"/>
        <w:spacing w:before="120" w:beforeAutospacing="0" w:after="120" w:afterAutospacing="0"/>
        <w:ind w:left="0" w:right="0" w:firstLine="0"/>
        <w:rPr>
          <w:sz w:val="40"/>
          <w:szCs w:val="40"/>
        </w:rPr>
      </w:pPr>
      <w:r>
        <w:rPr>
          <w:rFonts w:hint="default" w:ascii="Segoe UI" w:hAnsi="Segoe UI" w:eastAsia="Segoe UI" w:cs="Segoe UI"/>
          <w:i w:val="0"/>
          <w:caps w:val="0"/>
          <w:color w:val="0F1115"/>
          <w:spacing w:val="0"/>
          <w:sz w:val="18"/>
          <w:szCs w:val="18"/>
          <w:shd w:val="clear" w:fill="FFFFFF"/>
        </w:rPr>
        <w:t>In contrast, the policies of the US, EU, Japan, and South Korea have fundamentally shifted toward </w:t>
      </w:r>
      <w:r>
        <w:rPr>
          <w:rFonts w:hint="default" w:ascii="Segoe UI" w:hAnsi="Segoe UI" w:eastAsia="Segoe UI" w:cs="Segoe UI"/>
          <w:b/>
          <w:i w:val="0"/>
          <w:caps w:val="0"/>
          <w:color w:val="0F1115"/>
          <w:spacing w:val="0"/>
          <w:sz w:val="18"/>
          <w:szCs w:val="18"/>
          <w:shd w:val="clear" w:fill="FFFFFF"/>
        </w:rPr>
        <w:t>supply chain security</w:t>
      </w:r>
      <w:r>
        <w:rPr>
          <w:rFonts w:hint="default" w:ascii="Segoe UI" w:hAnsi="Segoe UI" w:eastAsia="Segoe UI" w:cs="Segoe UI"/>
          <w:i w:val="0"/>
          <w:caps w:val="0"/>
          <w:color w:val="0F1115"/>
          <w:spacing w:val="0"/>
          <w:sz w:val="18"/>
          <w:szCs w:val="18"/>
          <w:shd w:val="clear" w:fill="FFFFFF"/>
        </w:rPr>
        <w:t> and </w:t>
      </w:r>
      <w:r>
        <w:rPr>
          <w:rFonts w:hint="default" w:ascii="Segoe UI" w:hAnsi="Segoe UI" w:eastAsia="Segoe UI" w:cs="Segoe UI"/>
          <w:b/>
          <w:i w:val="0"/>
          <w:caps w:val="0"/>
          <w:color w:val="0F1115"/>
          <w:spacing w:val="0"/>
          <w:sz w:val="18"/>
          <w:szCs w:val="18"/>
          <w:shd w:val="clear" w:fill="FFFFFF"/>
        </w:rPr>
        <w:t>technological sovereignty</w:t>
      </w:r>
      <w:r>
        <w:rPr>
          <w:rFonts w:hint="default" w:ascii="Segoe UI" w:hAnsi="Segoe UI" w:eastAsia="Segoe UI" w:cs="Segoe UI"/>
          <w:i w:val="0"/>
          <w:caps w:val="0"/>
          <w:color w:val="0F1115"/>
          <w:spacing w:val="0"/>
          <w:sz w:val="18"/>
          <w:szCs w:val="18"/>
          <w:shd w:val="clear" w:fill="FFFFFF"/>
        </w:rPr>
        <w:t>. The US CHIPS Act is emblematic of this shift, aiming not just for industrial support but for </w:t>
      </w:r>
      <w:r>
        <w:rPr>
          <w:rFonts w:hint="default" w:ascii="Segoe UI" w:hAnsi="Segoe UI" w:eastAsia="Segoe UI" w:cs="Segoe UI"/>
          <w:b/>
          <w:i w:val="0"/>
          <w:caps w:val="0"/>
          <w:color w:val="0F1115"/>
          <w:spacing w:val="0"/>
          <w:sz w:val="18"/>
          <w:szCs w:val="18"/>
          <w:shd w:val="clear" w:fill="FFFFFF"/>
        </w:rPr>
        <w:t>controllability</w:t>
      </w:r>
      <w:r>
        <w:rPr>
          <w:rFonts w:hint="default" w:ascii="Segoe UI" w:hAnsi="Segoe UI" w:eastAsia="Segoe UI" w:cs="Segoe UI"/>
          <w:i w:val="0"/>
          <w:caps w:val="0"/>
          <w:color w:val="0F1115"/>
          <w:spacing w:val="0"/>
          <w:sz w:val="18"/>
          <w:szCs w:val="18"/>
          <w:shd w:val="clear" w:fill="FFFFFF"/>
        </w:rPr>
        <w:t> over the entire semiconductor value chain amid geopolitical competition:</w:t>
      </w:r>
    </w:p>
    <w:p>
      <w:pPr>
        <w:pStyle w:val="7"/>
        <w:keepNext w:val="0"/>
        <w:keepLines w:val="0"/>
        <w:widowControl/>
        <w:numPr>
          <w:numId w:val="0"/>
        </w:numPr>
        <w:suppressLineNumbers w:val="0"/>
        <w:spacing w:before="0" w:beforeAutospacing="0" w:after="0" w:afterAutospacing="0"/>
        <w:ind w:leftChars="0" w:right="0" w:rightChars="0"/>
        <w:rPr>
          <w:sz w:val="40"/>
          <w:szCs w:val="40"/>
        </w:rPr>
      </w:pPr>
      <w:r>
        <w:rPr>
          <w:rFonts w:ascii="Segoe UI" w:hAnsi="Segoe UI" w:eastAsia="Segoe UI" w:cs="Segoe UI"/>
          <w:b/>
          <w:i w:val="0"/>
          <w:caps w:val="0"/>
          <w:color w:val="0F1115"/>
          <w:spacing w:val="0"/>
          <w:sz w:val="18"/>
          <w:szCs w:val="18"/>
          <w:shd w:val="clear" w:fill="FFFFFF"/>
        </w:rPr>
        <w:t>United States:</w:t>
      </w:r>
      <w:r>
        <w:rPr>
          <w:rFonts w:hint="default" w:ascii="Segoe UI" w:hAnsi="Segoe UI" w:eastAsia="Segoe UI" w:cs="Segoe UI"/>
          <w:i w:val="0"/>
          <w:caps w:val="0"/>
          <w:color w:val="0F1115"/>
          <w:spacing w:val="0"/>
          <w:sz w:val="18"/>
          <w:szCs w:val="18"/>
          <w:shd w:val="clear" w:fill="FFFFFF"/>
        </w:rPr>
        <w:t> ~$52.7 billion in subsidies, with "China护栏" clauses prohibiting facility expansion in advanced nodes in China for 10 years.</w:t>
      </w:r>
    </w:p>
    <w:p>
      <w:pPr>
        <w:pStyle w:val="7"/>
        <w:keepNext w:val="0"/>
        <w:keepLines w:val="0"/>
        <w:widowControl/>
        <w:numPr>
          <w:numId w:val="0"/>
        </w:numPr>
        <w:suppressLineNumbers w:val="0"/>
        <w:spacing w:before="0" w:beforeAutospacing="0" w:after="0" w:afterAutospacing="0"/>
        <w:ind w:leftChars="0" w:right="0" w:rightChars="0"/>
        <w:rPr>
          <w:sz w:val="40"/>
          <w:szCs w:val="40"/>
        </w:rPr>
      </w:pPr>
      <w:r>
        <w:rPr>
          <w:rFonts w:hint="default" w:ascii="Segoe UI" w:hAnsi="Segoe UI" w:eastAsia="Segoe UI" w:cs="Segoe UI"/>
          <w:b/>
          <w:i w:val="0"/>
          <w:caps w:val="0"/>
          <w:color w:val="0F1115"/>
          <w:spacing w:val="0"/>
          <w:sz w:val="18"/>
          <w:szCs w:val="18"/>
          <w:shd w:val="clear" w:fill="FFFFFF"/>
        </w:rPr>
        <w:t>European Union:</w:t>
      </w:r>
      <w:r>
        <w:rPr>
          <w:rFonts w:hint="default" w:ascii="Segoe UI" w:hAnsi="Segoe UI" w:eastAsia="Segoe UI" w:cs="Segoe UI"/>
          <w:i w:val="0"/>
          <w:caps w:val="0"/>
          <w:color w:val="0F1115"/>
          <w:spacing w:val="0"/>
          <w:sz w:val="18"/>
          <w:szCs w:val="18"/>
          <w:shd w:val="clear" w:fill="FFFFFF"/>
        </w:rPr>
        <w:t> European Chips Act targeting a 20% global production share by 2030, focusing on advanced nodes and design.</w:t>
      </w:r>
    </w:p>
    <w:p>
      <w:pPr>
        <w:pStyle w:val="7"/>
        <w:keepNext w:val="0"/>
        <w:keepLines w:val="0"/>
        <w:widowControl/>
        <w:numPr>
          <w:numId w:val="0"/>
        </w:numPr>
        <w:suppressLineNumbers w:val="0"/>
        <w:spacing w:before="0" w:beforeAutospacing="0" w:after="0" w:afterAutospacing="0"/>
        <w:ind w:leftChars="0" w:right="0" w:rightChars="0"/>
        <w:rPr>
          <w:sz w:val="40"/>
          <w:szCs w:val="40"/>
        </w:rPr>
      </w:pPr>
      <w:r>
        <w:rPr>
          <w:rFonts w:hint="default" w:ascii="Segoe UI" w:hAnsi="Segoe UI" w:eastAsia="Segoe UI" w:cs="Segoe UI"/>
          <w:b/>
          <w:i w:val="0"/>
          <w:caps w:val="0"/>
          <w:color w:val="0F1115"/>
          <w:spacing w:val="0"/>
          <w:sz w:val="18"/>
          <w:szCs w:val="18"/>
          <w:shd w:val="clear" w:fill="FFFFFF"/>
        </w:rPr>
        <w:t>Japan:</w:t>
      </w:r>
      <w:r>
        <w:rPr>
          <w:rFonts w:hint="default" w:ascii="Segoe UI" w:hAnsi="Segoe UI" w:eastAsia="Segoe UI" w:cs="Segoe UI"/>
          <w:i w:val="0"/>
          <w:caps w:val="0"/>
          <w:color w:val="0F1115"/>
          <w:spacing w:val="0"/>
          <w:sz w:val="18"/>
          <w:szCs w:val="18"/>
          <w:shd w:val="clear" w:fill="FFFFFF"/>
        </w:rPr>
        <w:t> Heavy subsidies for TSMC’s Kumamoto fab, positioning semiconductors as an "economic security" priority.</w:t>
      </w:r>
    </w:p>
    <w:p>
      <w:pPr>
        <w:pStyle w:val="7"/>
        <w:keepNext w:val="0"/>
        <w:keepLines w:val="0"/>
        <w:widowControl/>
        <w:numPr>
          <w:numId w:val="0"/>
        </w:numPr>
        <w:suppressLineNumbers w:val="0"/>
        <w:spacing w:before="0" w:beforeAutospacing="0" w:after="0" w:afterAutospacing="0"/>
        <w:ind w:leftChars="0" w:right="0" w:rightChars="0"/>
        <w:rPr>
          <w:sz w:val="32"/>
          <w:szCs w:val="40"/>
        </w:rPr>
      </w:pPr>
      <w:r>
        <w:rPr>
          <w:rFonts w:hint="default" w:ascii="Segoe UI" w:hAnsi="Segoe UI" w:eastAsia="Segoe UI" w:cs="Segoe UI"/>
          <w:b/>
          <w:i w:val="0"/>
          <w:caps w:val="0"/>
          <w:color w:val="0F1115"/>
          <w:spacing w:val="0"/>
          <w:sz w:val="18"/>
          <w:szCs w:val="18"/>
          <w:shd w:val="clear" w:fill="FFFFFF"/>
        </w:rPr>
        <w:t>South Korea:</w:t>
      </w:r>
      <w:r>
        <w:rPr>
          <w:rFonts w:hint="default" w:ascii="Segoe UI" w:hAnsi="Segoe UI" w:eastAsia="Segoe UI" w:cs="Segoe UI"/>
          <w:i w:val="0"/>
          <w:caps w:val="0"/>
          <w:color w:val="0F1115"/>
          <w:spacing w:val="0"/>
          <w:sz w:val="18"/>
          <w:szCs w:val="18"/>
          <w:shd w:val="clear" w:fill="FFFFFF"/>
        </w:rPr>
        <w:t> "K-Semiconductor Strategy" with tax incentives and infrastructure to build the world’s largest manufacturing hub.</w:t>
      </w:r>
    </w:p>
    <w:p>
      <w:pPr>
        <w:rPr>
          <w:rFonts w:hint="default" w:ascii="Segoe UI" w:hAnsi="Segoe UI" w:eastAsia="Segoe UI" w:cs="Segoe UI"/>
          <w:i w:val="0"/>
          <w:caps w:val="0"/>
          <w:color w:val="0F1115"/>
          <w:spacing w:val="0"/>
          <w:sz w:val="18"/>
          <w:szCs w:val="18"/>
          <w:shd w:val="clear" w:fill="FFFFFF"/>
        </w:rPr>
      </w:pPr>
      <w:r>
        <w:rPr>
          <w:rFonts w:ascii="Segoe UI" w:hAnsi="Segoe UI" w:eastAsia="Segoe UI" w:cs="Segoe UI"/>
          <w:b/>
          <w:i w:val="0"/>
          <w:caps w:val="0"/>
          <w:color w:val="0F1115"/>
          <w:spacing w:val="0"/>
          <w:sz w:val="18"/>
          <w:szCs w:val="18"/>
          <w:shd w:val="clear" w:fill="FFFFFF"/>
        </w:rPr>
        <w:t>Core Difference:</w:t>
      </w:r>
      <w:r>
        <w:rPr>
          <w:rFonts w:hint="default" w:ascii="Segoe UI" w:hAnsi="Segoe UI" w:eastAsia="Segoe UI" w:cs="Segoe UI"/>
          <w:i w:val="0"/>
          <w:caps w:val="0"/>
          <w:color w:val="0F1115"/>
          <w:spacing w:val="0"/>
          <w:sz w:val="18"/>
          <w:szCs w:val="18"/>
          <w:shd w:val="clear" w:fill="FFFFFF"/>
        </w:rPr>
        <w:t> Guangdong’s policies emphasize </w:t>
      </w:r>
      <w:r>
        <w:rPr>
          <w:rFonts w:hint="default" w:ascii="Segoe UI" w:hAnsi="Segoe UI" w:eastAsia="Segoe UI" w:cs="Segoe UI"/>
          <w:b/>
          <w:i w:val="0"/>
          <w:caps w:val="0"/>
          <w:color w:val="0F1115"/>
          <w:spacing w:val="0"/>
          <w:sz w:val="18"/>
          <w:szCs w:val="18"/>
          <w:shd w:val="clear" w:fill="FFFFFF"/>
        </w:rPr>
        <w:t>ecosystem building</w:t>
      </w:r>
      <w:r>
        <w:rPr>
          <w:rFonts w:hint="default" w:ascii="Segoe UI" w:hAnsi="Segoe UI" w:eastAsia="Segoe UI" w:cs="Segoe UI"/>
          <w:i w:val="0"/>
          <w:caps w:val="0"/>
          <w:color w:val="0F1115"/>
          <w:spacing w:val="0"/>
          <w:sz w:val="18"/>
          <w:szCs w:val="18"/>
          <w:shd w:val="clear" w:fill="FFFFFF"/>
        </w:rPr>
        <w:t> (investment attraction, talent recruitment, university programs). US/EU/Japan/Korea policies integrate </w:t>
      </w:r>
      <w:r>
        <w:rPr>
          <w:rFonts w:hint="default" w:ascii="Segoe UI" w:hAnsi="Segoe UI" w:eastAsia="Segoe UI" w:cs="Segoe UI"/>
          <w:b/>
          <w:i w:val="0"/>
          <w:caps w:val="0"/>
          <w:color w:val="0F1115"/>
          <w:spacing w:val="0"/>
          <w:sz w:val="18"/>
          <w:szCs w:val="18"/>
          <w:shd w:val="clear" w:fill="FFFFFF"/>
        </w:rPr>
        <w:t>strategic tools like technology blockades, investment reviews, and export controls</w:t>
      </w:r>
      <w:r>
        <w:rPr>
          <w:rFonts w:hint="default" w:ascii="Segoe UI" w:hAnsi="Segoe UI" w:eastAsia="Segoe UI" w:cs="Segoe UI"/>
          <w:i w:val="0"/>
          <w:caps w:val="0"/>
          <w:color w:val="0F1115"/>
          <w:spacing w:val="0"/>
          <w:sz w:val="18"/>
          <w:szCs w:val="18"/>
          <w:shd w:val="clear" w:fill="FFFFFF"/>
        </w:rPr>
        <w:t>. Guangdong is highly market-oriented and application-driven but lacks systematic responses to </w:t>
      </w:r>
      <w:r>
        <w:rPr>
          <w:rFonts w:hint="default" w:ascii="Segoe UI" w:hAnsi="Segoe UI" w:eastAsia="Segoe UI" w:cs="Segoe UI"/>
          <w:b/>
          <w:i w:val="0"/>
          <w:caps w:val="0"/>
          <w:color w:val="0F1115"/>
          <w:spacing w:val="0"/>
          <w:sz w:val="18"/>
          <w:szCs w:val="18"/>
          <w:shd w:val="clear" w:fill="FFFFFF"/>
        </w:rPr>
        <w:t>external risks</w:t>
      </w:r>
      <w:r>
        <w:rPr>
          <w:rFonts w:hint="default" w:ascii="Segoe UI" w:hAnsi="Segoe UI" w:eastAsia="Segoe UI" w:cs="Segoe UI"/>
          <w:i w:val="0"/>
          <w:caps w:val="0"/>
          <w:color w:val="0F1115"/>
          <w:spacing w:val="0"/>
          <w:sz w:val="18"/>
          <w:szCs w:val="18"/>
          <w:shd w:val="clear" w:fill="FFFFFF"/>
        </w:rPr>
        <w:t>.</w:t>
      </w:r>
    </w:p>
    <w:p>
      <w:pPr>
        <w:pStyle w:val="3"/>
        <w:bidi w:val="0"/>
      </w:pPr>
      <w:r>
        <w:rPr>
          <w:rFonts w:hint="default"/>
        </w:rPr>
        <w:t>II. Detailed Policy Dimension Comparisons</w:t>
      </w:r>
    </w:p>
    <w:p>
      <w:pPr>
        <w:pStyle w:val="6"/>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caps w:val="0"/>
          <w:color w:val="0F1115"/>
          <w:spacing w:val="0"/>
          <w:sz w:val="18"/>
          <w:szCs w:val="18"/>
        </w:rPr>
      </w:pPr>
      <w:r>
        <w:rPr>
          <w:rFonts w:hint="default" w:ascii="Segoe UI" w:hAnsi="Segoe UI" w:eastAsia="Segoe UI" w:cs="Segoe UI"/>
          <w:b/>
          <w:caps w:val="0"/>
          <w:color w:val="0F1115"/>
          <w:spacing w:val="0"/>
          <w:sz w:val="18"/>
          <w:szCs w:val="18"/>
          <w:shd w:val="clear" w:fill="FFFFFF"/>
        </w:rPr>
        <w:t>1. Investment &amp; Financing: Administrative Guidance vs. Strategic Subsidies &amp; "Small Yard, High Fence"</w:t>
      </w:r>
    </w:p>
    <w:tbl>
      <w:tblPr>
        <w:tblW w:w="8839"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Layout w:type="autofit"/>
        <w:tblCellMar>
          <w:top w:w="15" w:type="dxa"/>
          <w:left w:w="15" w:type="dxa"/>
          <w:bottom w:w="15" w:type="dxa"/>
          <w:right w:w="15" w:type="dxa"/>
        </w:tblCellMar>
      </w:tblPr>
      <w:tblGrid>
        <w:gridCol w:w="1103"/>
        <w:gridCol w:w="3799"/>
        <w:gridCol w:w="3937"/>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15" w:type="dxa"/>
            <w:left w:w="15" w:type="dxa"/>
            <w:bottom w:w="15" w:type="dxa"/>
            <w:right w:w="15" w:type="dxa"/>
          </w:tblCellMar>
        </w:tblPrEx>
        <w:trPr>
          <w:trHeight w:val="458" w:hRule="atLeast"/>
          <w:tblHeader/>
        </w:trPr>
        <w:tc>
          <w:tcPr>
            <w:tcW w:w="0" w:type="auto"/>
            <w:shd w:val="clear" w:color="auto" w:fill="FFFFFF"/>
            <w:tcMar>
              <w:top w:w="75" w:type="dxa"/>
              <w:left w:w="0" w:type="dxa"/>
              <w:bottom w:w="75" w:type="dxa"/>
              <w:right w:w="120" w:type="dxa"/>
            </w:tcMar>
            <w:vAlign w:val="center"/>
          </w:tcPr>
          <w:p>
            <w:pPr>
              <w:keepNext w:val="0"/>
              <w:keepLines w:val="0"/>
              <w:widowControl/>
              <w:suppressLineNumbers w:val="0"/>
              <w:spacing w:line="188" w:lineRule="atLeast"/>
              <w:jc w:val="left"/>
              <w:rPr>
                <w:rFonts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Dimension</w:t>
            </w:r>
          </w:p>
        </w:tc>
        <w:tc>
          <w:tcPr>
            <w:tcW w:w="0" w:type="auto"/>
            <w:shd w:val="clear" w:color="auto" w:fill="FFFFFF"/>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Guangdong Province</w:t>
            </w:r>
          </w:p>
        </w:tc>
        <w:tc>
          <w:tcPr>
            <w:tcW w:w="0" w:type="auto"/>
            <w:shd w:val="clear" w:color="auto" w:fill="FFFFFF"/>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United States (CHIPS Act)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15" w:type="dxa"/>
            <w:left w:w="15" w:type="dxa"/>
            <w:bottom w:w="15" w:type="dxa"/>
            <w:right w:w="15" w:type="dxa"/>
          </w:tblCellMar>
        </w:tblPrEx>
        <w:trPr>
          <w:trHeight w:val="458" w:hRule="atLeast"/>
        </w:trPr>
        <w:tc>
          <w:tcPr>
            <w:tcW w:w="0" w:type="auto"/>
            <w:shd w:val="clear" w:color="auto" w:fill="FFFFFF"/>
            <w:tcMar>
              <w:top w:w="75" w:type="dxa"/>
              <w:left w:w="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b/>
                <w:i w:val="0"/>
                <w:caps w:val="0"/>
                <w:color w:val="0F1115"/>
                <w:spacing w:val="0"/>
                <w:kern w:val="0"/>
                <w:sz w:val="18"/>
                <w:szCs w:val="18"/>
                <w:bdr w:val="none" w:color="auto" w:sz="0" w:space="0"/>
                <w:lang w:val="en-US" w:eastAsia="zh-CN" w:bidi="ar"/>
              </w:rPr>
              <w:t>Scale</w:t>
            </w:r>
          </w:p>
        </w:tc>
        <w:tc>
          <w:tcPr>
            <w:tcW w:w="0" w:type="auto"/>
            <w:shd w:val="clear" w:color="auto" w:fill="FFFFFF"/>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&gt;RMB 500 billion total, but dispersed across multiple cities/projects</w:t>
            </w:r>
          </w:p>
        </w:tc>
        <w:tc>
          <w:tcPr>
            <w:tcW w:w="0" w:type="auto"/>
            <w:shd w:val="clear" w:color="auto" w:fill="FFFFFF"/>
            <w:tcMar>
              <w:top w:w="75" w:type="dxa"/>
              <w:left w:w="120" w:type="dxa"/>
              <w:bottom w:w="75" w:type="dxa"/>
              <w:right w:w="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~$52.7B direct subsidies + ~$75B loans/guarantees</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15" w:type="dxa"/>
            <w:left w:w="15" w:type="dxa"/>
            <w:bottom w:w="15" w:type="dxa"/>
            <w:right w:w="15" w:type="dxa"/>
          </w:tblCellMar>
        </w:tblPrEx>
        <w:trPr>
          <w:trHeight w:val="1063" w:hRule="atLeast"/>
        </w:trPr>
        <w:tc>
          <w:tcPr>
            <w:tcW w:w="0" w:type="auto"/>
            <w:shd w:val="clear" w:color="auto" w:fill="FFFFFF"/>
            <w:tcMar>
              <w:top w:w="75" w:type="dxa"/>
              <w:left w:w="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b/>
                <w:i w:val="0"/>
                <w:caps w:val="0"/>
                <w:color w:val="0F1115"/>
                <w:spacing w:val="0"/>
                <w:kern w:val="0"/>
                <w:sz w:val="18"/>
                <w:szCs w:val="18"/>
                <w:bdr w:val="none" w:color="auto" w:sz="0" w:space="0"/>
                <w:lang w:val="en-US" w:eastAsia="zh-CN" w:bidi="ar"/>
              </w:rPr>
              <w:t>Sources</w:t>
            </w:r>
          </w:p>
        </w:tc>
        <w:tc>
          <w:tcPr>
            <w:tcW w:w="0" w:type="auto"/>
            <w:shd w:val="clear" w:color="auto" w:fill="FFFFFF"/>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Local fiscal, industrial funds, private capital (recently cooling)</w:t>
            </w:r>
          </w:p>
        </w:tc>
        <w:tc>
          <w:tcPr>
            <w:tcW w:w="0" w:type="auto"/>
            <w:shd w:val="clear" w:color="auto" w:fill="FFFFFF"/>
            <w:tcMar>
              <w:top w:w="75" w:type="dxa"/>
              <w:left w:w="120" w:type="dxa"/>
              <w:bottom w:w="75" w:type="dxa"/>
              <w:right w:w="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Federal direct grants, DoD funds, targeted tax credits</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15" w:type="dxa"/>
            <w:left w:w="15" w:type="dxa"/>
            <w:bottom w:w="15" w:type="dxa"/>
            <w:right w:w="15" w:type="dxa"/>
          </w:tblCellMar>
        </w:tblPrEx>
        <w:trPr>
          <w:trHeight w:val="1063" w:hRule="atLeast"/>
        </w:trPr>
        <w:tc>
          <w:tcPr>
            <w:tcW w:w="0" w:type="auto"/>
            <w:shd w:val="clear" w:color="auto" w:fill="FFFFFF"/>
            <w:tcMar>
              <w:top w:w="75" w:type="dxa"/>
              <w:left w:w="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b/>
                <w:i w:val="0"/>
                <w:caps w:val="0"/>
                <w:color w:val="0F1115"/>
                <w:spacing w:val="0"/>
                <w:kern w:val="0"/>
                <w:sz w:val="18"/>
                <w:szCs w:val="18"/>
                <w:bdr w:val="none" w:color="auto" w:sz="0" w:space="0"/>
                <w:lang w:val="en-US" w:eastAsia="zh-CN" w:bidi="ar"/>
              </w:rPr>
              <w:t>Conditions</w:t>
            </w:r>
          </w:p>
        </w:tc>
        <w:tc>
          <w:tcPr>
            <w:tcW w:w="0" w:type="auto"/>
            <w:shd w:val="clear" w:color="auto" w:fill="FFFFFF"/>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Typically revenue/tax local landing requirements</w:t>
            </w:r>
          </w:p>
        </w:tc>
        <w:tc>
          <w:tcPr>
            <w:tcW w:w="0" w:type="auto"/>
            <w:shd w:val="clear" w:color="auto" w:fill="FFFFFF"/>
            <w:tcMar>
              <w:top w:w="75" w:type="dxa"/>
              <w:left w:w="120" w:type="dxa"/>
              <w:bottom w:w="75" w:type="dxa"/>
              <w:right w:w="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Mandated no advanced-node expansion in China; profit-sharing</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15" w:type="dxa"/>
            <w:left w:w="15" w:type="dxa"/>
            <w:bottom w:w="15" w:type="dxa"/>
            <w:right w:w="15" w:type="dxa"/>
          </w:tblCellMar>
        </w:tblPrEx>
        <w:trPr>
          <w:trHeight w:val="1072" w:hRule="atLeast"/>
        </w:trPr>
        <w:tc>
          <w:tcPr>
            <w:tcW w:w="0" w:type="auto"/>
            <w:shd w:val="clear" w:color="auto" w:fill="FFFFFF"/>
            <w:tcMar>
              <w:top w:w="75" w:type="dxa"/>
              <w:left w:w="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b/>
                <w:i w:val="0"/>
                <w:caps w:val="0"/>
                <w:color w:val="0F1115"/>
                <w:spacing w:val="0"/>
                <w:kern w:val="0"/>
                <w:sz w:val="18"/>
                <w:szCs w:val="18"/>
                <w:bdr w:val="none" w:color="auto" w:sz="0" w:space="0"/>
                <w:lang w:val="en-US" w:eastAsia="zh-CN" w:bidi="ar"/>
              </w:rPr>
              <w:t>Risk Control</w:t>
            </w:r>
          </w:p>
        </w:tc>
        <w:tc>
          <w:tcPr>
            <w:tcW w:w="0" w:type="auto"/>
            <w:shd w:val="clear" w:color="auto" w:fill="FFFFFF"/>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Limited foreign dependency reviews</w:t>
            </w:r>
          </w:p>
        </w:tc>
        <w:tc>
          <w:tcPr>
            <w:tcW w:w="0" w:type="auto"/>
            <w:shd w:val="clear" w:color="auto" w:fill="FFFFFF"/>
            <w:tcMar>
              <w:top w:w="75" w:type="dxa"/>
              <w:left w:w="120" w:type="dxa"/>
              <w:bottom w:w="75" w:type="dxa"/>
              <w:right w:w="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CFIUS reviews; strict limits on Chinese M&amp;A of US semiconductor firms</w:t>
            </w:r>
          </w:p>
        </w:tc>
      </w:tr>
    </w:tbl>
    <w:p>
      <w:pPr>
        <w:rPr>
          <w:rFonts w:hint="default" w:ascii="Segoe UI" w:hAnsi="Segoe UI" w:eastAsia="Segoe UI" w:cs="Segoe UI"/>
          <w:i w:val="0"/>
          <w:caps w:val="0"/>
          <w:color w:val="0F1115"/>
          <w:spacing w:val="0"/>
          <w:sz w:val="18"/>
          <w:szCs w:val="18"/>
          <w:shd w:val="clear" w:fill="FFFFFF"/>
        </w:rPr>
      </w:pPr>
      <w:r>
        <w:rPr>
          <w:rFonts w:ascii="Segoe UI" w:hAnsi="Segoe UI" w:eastAsia="Segoe UI" w:cs="Segoe UI"/>
          <w:b/>
          <w:i w:val="0"/>
          <w:caps w:val="0"/>
          <w:color w:val="0F1115"/>
          <w:spacing w:val="0"/>
          <w:sz w:val="18"/>
          <w:szCs w:val="18"/>
          <w:shd w:val="clear" w:fill="FFFFFF"/>
        </w:rPr>
        <w:t>Analysis:</w:t>
      </w:r>
      <w:r>
        <w:rPr>
          <w:rFonts w:hint="default" w:ascii="Segoe UI" w:hAnsi="Segoe UI" w:eastAsia="Segoe UI" w:cs="Segoe UI"/>
          <w:i w:val="0"/>
          <w:caps w:val="0"/>
          <w:color w:val="0F1115"/>
          <w:spacing w:val="0"/>
          <w:sz w:val="18"/>
          <w:szCs w:val="18"/>
          <w:shd w:val="clear" w:fill="FFFFFF"/>
        </w:rPr>
        <w:t> Guangdong’s total funding is comparable to or exceeds direct US subsidies. However, US subsidies are </w:t>
      </w:r>
      <w:r>
        <w:rPr>
          <w:rFonts w:hint="default" w:ascii="Segoe UI" w:hAnsi="Segoe UI" w:eastAsia="Segoe UI" w:cs="Segoe UI"/>
          <w:b/>
          <w:i w:val="0"/>
          <w:caps w:val="0"/>
          <w:color w:val="0F1115"/>
          <w:spacing w:val="0"/>
          <w:sz w:val="18"/>
          <w:szCs w:val="18"/>
          <w:shd w:val="clear" w:fill="FFFFFF"/>
        </w:rPr>
        <w:t>exclusionary and targeted</w:t>
      </w:r>
      <w:r>
        <w:rPr>
          <w:rFonts w:hint="default" w:ascii="Segoe UI" w:hAnsi="Segoe UI" w:eastAsia="Segoe UI" w:cs="Segoe UI"/>
          <w:i w:val="0"/>
          <w:caps w:val="0"/>
          <w:color w:val="0F1115"/>
          <w:spacing w:val="0"/>
          <w:sz w:val="18"/>
          <w:szCs w:val="18"/>
          <w:shd w:val="clear" w:fill="FFFFFF"/>
        </w:rPr>
        <w:t> to reshape global supply chains. Guangdong remains heavily reliant on foreign investment (51.6% of IC manufacturing外资 as of 2023), with no systematic contingency plan as US capital exits.</w:t>
      </w:r>
    </w:p>
    <w:p>
      <w:pPr>
        <w:pStyle w:val="6"/>
        <w:keepNext w:val="0"/>
        <w:keepLines w:val="0"/>
        <w:widowControl/>
        <w:suppressLineNumbers w:val="0"/>
        <w:shd w:val="clear" w:fill="FFFFFF"/>
        <w:spacing w:before="120" w:beforeAutospacing="0" w:after="120" w:afterAutospacing="0" w:line="210" w:lineRule="atLeast"/>
        <w:ind w:left="0" w:right="0" w:firstLine="0"/>
        <w:rPr>
          <w:rFonts w:ascii="Segoe UI" w:hAnsi="Segoe UI" w:eastAsia="Segoe UI" w:cs="Segoe UI"/>
          <w:b/>
          <w:caps w:val="0"/>
          <w:color w:val="0F1115"/>
          <w:spacing w:val="0"/>
          <w:sz w:val="18"/>
          <w:szCs w:val="18"/>
        </w:rPr>
      </w:pPr>
      <w:r>
        <w:rPr>
          <w:rFonts w:hint="default" w:ascii="Segoe UI" w:hAnsi="Segoe UI" w:eastAsia="Segoe UI" w:cs="Segoe UI"/>
          <w:b/>
          <w:caps w:val="0"/>
          <w:color w:val="0F1115"/>
          <w:spacing w:val="0"/>
          <w:sz w:val="18"/>
          <w:szCs w:val="18"/>
          <w:shd w:val="clear" w:fill="FFFFFF"/>
        </w:rPr>
        <w:t>2. Core Technology Development: Efficiency-First vs. "Bottleneck" Reverse Lock-in</w:t>
      </w:r>
    </w:p>
    <w:tbl>
      <w:tblPr>
        <w:tblW w:w="8979"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Layout w:type="autofit"/>
        <w:tblCellMar>
          <w:top w:w="15" w:type="dxa"/>
          <w:left w:w="15" w:type="dxa"/>
          <w:bottom w:w="15" w:type="dxa"/>
          <w:right w:w="15" w:type="dxa"/>
        </w:tblCellMar>
      </w:tblPr>
      <w:tblGrid>
        <w:gridCol w:w="1417"/>
        <w:gridCol w:w="3602"/>
        <w:gridCol w:w="3960"/>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15" w:type="dxa"/>
            <w:left w:w="15" w:type="dxa"/>
            <w:bottom w:w="15" w:type="dxa"/>
            <w:right w:w="15" w:type="dxa"/>
          </w:tblCellMar>
        </w:tblPrEx>
        <w:trPr>
          <w:trHeight w:val="444" w:hRule="atLeast"/>
          <w:tblHeader/>
        </w:trPr>
        <w:tc>
          <w:tcPr>
            <w:tcW w:w="0" w:type="auto"/>
            <w:shd w:val="clear" w:color="auto" w:fill="FFFFFF"/>
            <w:tcMar>
              <w:top w:w="75" w:type="dxa"/>
              <w:left w:w="0" w:type="dxa"/>
              <w:bottom w:w="75" w:type="dxa"/>
              <w:right w:w="120" w:type="dxa"/>
            </w:tcMar>
            <w:vAlign w:val="center"/>
          </w:tcPr>
          <w:p>
            <w:pPr>
              <w:keepNext w:val="0"/>
              <w:keepLines w:val="0"/>
              <w:widowControl/>
              <w:suppressLineNumbers w:val="0"/>
              <w:spacing w:line="188" w:lineRule="atLeast"/>
              <w:jc w:val="left"/>
              <w:rPr>
                <w:rFonts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Dimension</w:t>
            </w:r>
          </w:p>
        </w:tc>
        <w:tc>
          <w:tcPr>
            <w:tcW w:w="0" w:type="auto"/>
            <w:shd w:val="clear" w:color="auto" w:fill="FFFFFF"/>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Guangdong Province</w:t>
            </w:r>
          </w:p>
        </w:tc>
        <w:tc>
          <w:tcPr>
            <w:tcW w:w="0" w:type="auto"/>
            <w:shd w:val="clear" w:color="auto" w:fill="FFFFFF"/>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US/Japan/Netherlands (Tech Alliance)</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15" w:type="dxa"/>
            <w:left w:w="15" w:type="dxa"/>
            <w:bottom w:w="15" w:type="dxa"/>
            <w:right w:w="15" w:type="dxa"/>
          </w:tblCellMar>
        </w:tblPrEx>
        <w:trPr>
          <w:trHeight w:val="1146" w:hRule="atLeast"/>
        </w:trPr>
        <w:tc>
          <w:tcPr>
            <w:tcW w:w="0" w:type="auto"/>
            <w:shd w:val="clear" w:color="auto" w:fill="FFFFFF"/>
            <w:tcMar>
              <w:top w:w="75" w:type="dxa"/>
              <w:left w:w="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b/>
                <w:i w:val="0"/>
                <w:caps w:val="0"/>
                <w:color w:val="0F1115"/>
                <w:spacing w:val="0"/>
                <w:kern w:val="0"/>
                <w:sz w:val="18"/>
                <w:szCs w:val="18"/>
                <w:bdr w:val="none" w:color="auto" w:sz="0" w:space="0"/>
                <w:lang w:val="en-US" w:eastAsia="zh-CN" w:bidi="ar"/>
              </w:rPr>
              <w:t>Focus Areas</w:t>
            </w:r>
          </w:p>
        </w:tc>
        <w:tc>
          <w:tcPr>
            <w:tcW w:w="0" w:type="auto"/>
            <w:shd w:val="clear" w:color="auto" w:fill="FFFFFF"/>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Silicon photonics, optical computing, specialty processes (e.g., Yuexin analog), third-gen compounds</w:t>
            </w:r>
          </w:p>
        </w:tc>
        <w:tc>
          <w:tcPr>
            <w:tcW w:w="0" w:type="auto"/>
            <w:shd w:val="clear" w:color="auto" w:fill="FFFFFF"/>
            <w:tcMar>
              <w:top w:w="75" w:type="dxa"/>
              <w:left w:w="120" w:type="dxa"/>
              <w:bottom w:w="75" w:type="dxa"/>
              <w:right w:w="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Sub-2nm, advanced packaging (Chiplet), GAA transistors, leading-edge EDA</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15" w:type="dxa"/>
            <w:left w:w="15" w:type="dxa"/>
            <w:bottom w:w="15" w:type="dxa"/>
            <w:right w:w="15" w:type="dxa"/>
          </w:tblCellMar>
        </w:tblPrEx>
        <w:trPr>
          <w:trHeight w:val="958" w:hRule="atLeast"/>
        </w:trPr>
        <w:tc>
          <w:tcPr>
            <w:tcW w:w="0" w:type="auto"/>
            <w:shd w:val="clear" w:color="auto" w:fill="FFFFFF"/>
            <w:tcMar>
              <w:top w:w="75" w:type="dxa"/>
              <w:left w:w="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b/>
                <w:i w:val="0"/>
                <w:caps w:val="0"/>
                <w:color w:val="0F1115"/>
                <w:spacing w:val="0"/>
                <w:kern w:val="0"/>
                <w:sz w:val="18"/>
                <w:szCs w:val="18"/>
                <w:bdr w:val="none" w:color="auto" w:sz="0" w:space="0"/>
                <w:lang w:val="en-US" w:eastAsia="zh-CN" w:bidi="ar"/>
              </w:rPr>
              <w:t>Innovation Model</w:t>
            </w:r>
          </w:p>
        </w:tc>
        <w:tc>
          <w:tcPr>
            <w:tcW w:w="0" w:type="auto"/>
            <w:shd w:val="clear" w:color="auto" w:fill="FFFFFF"/>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Enterprise-led (Huawei, Yuexin) + university labs</w:t>
            </w:r>
          </w:p>
        </w:tc>
        <w:tc>
          <w:tcPr>
            <w:tcW w:w="0" w:type="auto"/>
            <w:shd w:val="clear" w:color="auto" w:fill="FFFFFF"/>
            <w:tcMar>
              <w:top w:w="75" w:type="dxa"/>
              <w:left w:w="120" w:type="dxa"/>
              <w:bottom w:w="75" w:type="dxa"/>
              <w:right w:w="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National labs (MIT Microelectronics), IDMs (Intel, TSMC), equipment vendors (ASML, AMAT) deeply integrated</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15" w:type="dxa"/>
            <w:left w:w="15" w:type="dxa"/>
            <w:bottom w:w="15" w:type="dxa"/>
            <w:right w:w="15" w:type="dxa"/>
          </w:tblCellMar>
        </w:tblPrEx>
        <w:trPr>
          <w:trHeight w:val="976" w:hRule="atLeast"/>
        </w:trPr>
        <w:tc>
          <w:tcPr>
            <w:tcW w:w="0" w:type="auto"/>
            <w:shd w:val="clear" w:color="auto" w:fill="FFFFFF"/>
            <w:tcMar>
              <w:top w:w="75" w:type="dxa"/>
              <w:left w:w="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b/>
                <w:i w:val="0"/>
                <w:caps w:val="0"/>
                <w:color w:val="0F1115"/>
                <w:spacing w:val="0"/>
                <w:kern w:val="0"/>
                <w:sz w:val="18"/>
                <w:szCs w:val="18"/>
                <w:bdr w:val="none" w:color="auto" w:sz="0" w:space="0"/>
                <w:lang w:val="en-US" w:eastAsia="zh-CN" w:bidi="ar"/>
              </w:rPr>
              <w:t>Technology Source</w:t>
            </w:r>
          </w:p>
        </w:tc>
        <w:tc>
          <w:tcPr>
            <w:tcW w:w="0" w:type="auto"/>
            <w:shd w:val="clear" w:color="auto" w:fill="FFFFFF"/>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Purchased/licensed equipment → gradual iteration</w:t>
            </w:r>
          </w:p>
        </w:tc>
        <w:tc>
          <w:tcPr>
            <w:tcW w:w="0" w:type="auto"/>
            <w:shd w:val="clear" w:color="auto" w:fill="FFFFFF"/>
            <w:tcMar>
              <w:top w:w="75" w:type="dxa"/>
              <w:left w:w="120" w:type="dxa"/>
              <w:bottom w:w="75" w:type="dxa"/>
              <w:right w:w="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Full proprietary IP, patent moats</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15" w:type="dxa"/>
            <w:left w:w="15" w:type="dxa"/>
            <w:bottom w:w="15" w:type="dxa"/>
            <w:right w:w="15" w:type="dxa"/>
          </w:tblCellMar>
        </w:tblPrEx>
        <w:trPr>
          <w:trHeight w:val="977" w:hRule="atLeast"/>
        </w:trPr>
        <w:tc>
          <w:tcPr>
            <w:tcW w:w="0" w:type="auto"/>
            <w:shd w:val="clear" w:color="auto" w:fill="FFFFFF"/>
            <w:tcMar>
              <w:top w:w="75" w:type="dxa"/>
              <w:left w:w="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b/>
                <w:i w:val="0"/>
                <w:caps w:val="0"/>
                <w:color w:val="0F1115"/>
                <w:spacing w:val="0"/>
                <w:kern w:val="0"/>
                <w:sz w:val="18"/>
                <w:szCs w:val="18"/>
                <w:bdr w:val="none" w:color="auto" w:sz="0" w:space="0"/>
                <w:lang w:val="en-US" w:eastAsia="zh-CN" w:bidi="ar"/>
              </w:rPr>
              <w:t>External Environment</w:t>
            </w:r>
          </w:p>
        </w:tc>
        <w:tc>
          <w:tcPr>
            <w:tcW w:w="0" w:type="auto"/>
            <w:shd w:val="clear" w:color="auto" w:fill="FFFFFF"/>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EUV lithography blocked; limited access to sub-7nm high-performance chips</w:t>
            </w:r>
          </w:p>
        </w:tc>
        <w:tc>
          <w:tcPr>
            <w:tcW w:w="0" w:type="auto"/>
            <w:shd w:val="clear" w:color="auto" w:fill="FFFFFF"/>
            <w:tcMar>
              <w:top w:w="75" w:type="dxa"/>
              <w:left w:w="120" w:type="dxa"/>
              <w:bottom w:w="75" w:type="dxa"/>
              <w:right w:w="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Export controls to maintain "technology gap" over non-allies</w:t>
            </w:r>
          </w:p>
        </w:tc>
      </w:tr>
    </w:tbl>
    <w:p>
      <w:pPr>
        <w:rPr>
          <w:rFonts w:hint="default" w:ascii="Segoe UI" w:hAnsi="Segoe UI" w:eastAsia="Segoe UI" w:cs="Segoe UI"/>
          <w:i w:val="0"/>
          <w:caps w:val="0"/>
          <w:color w:val="0F1115"/>
          <w:spacing w:val="0"/>
          <w:sz w:val="18"/>
          <w:szCs w:val="18"/>
          <w:shd w:val="clear" w:fill="FFFFFF"/>
        </w:rPr>
      </w:pPr>
    </w:p>
    <w:p>
      <w:pPr>
        <w:rPr>
          <w:rFonts w:hint="default" w:ascii="Segoe UI" w:hAnsi="Segoe UI" w:eastAsia="Segoe UI" w:cs="Segoe UI"/>
          <w:i w:val="0"/>
          <w:caps w:val="0"/>
          <w:color w:val="0F1115"/>
          <w:spacing w:val="0"/>
          <w:sz w:val="18"/>
          <w:szCs w:val="18"/>
          <w:shd w:val="clear" w:fill="FFFFFF"/>
        </w:rPr>
      </w:pPr>
      <w:r>
        <w:rPr>
          <w:rFonts w:ascii="Segoe UI" w:hAnsi="Segoe UI" w:eastAsia="Segoe UI" w:cs="Segoe UI"/>
          <w:b/>
          <w:i w:val="0"/>
          <w:caps w:val="0"/>
          <w:color w:val="0F1115"/>
          <w:spacing w:val="0"/>
          <w:sz w:val="18"/>
          <w:szCs w:val="18"/>
          <w:shd w:val="clear" w:fill="FFFFFF"/>
        </w:rPr>
        <w:t>Analysis:</w:t>
      </w:r>
      <w:r>
        <w:rPr>
          <w:rFonts w:hint="default" w:ascii="Segoe UI" w:hAnsi="Segoe UI" w:eastAsia="Segoe UI" w:cs="Segoe UI"/>
          <w:i w:val="0"/>
          <w:caps w:val="0"/>
          <w:color w:val="0F1115"/>
          <w:spacing w:val="0"/>
          <w:sz w:val="18"/>
          <w:szCs w:val="18"/>
          <w:shd w:val="clear" w:fill="FFFFFF"/>
        </w:rPr>
        <w:t> Guangdong is competitive in mature nodes (28nm+) and specialty processes matching its home appliance and automotive electronics markets. However, for high-performance AI/supercomputing chips, Guangdong relies heavily on imports. US policy focuses on </w:t>
      </w:r>
      <w:r>
        <w:rPr>
          <w:rFonts w:hint="default" w:ascii="Segoe UI" w:hAnsi="Segoe UI" w:eastAsia="Segoe UI" w:cs="Segoe UI"/>
          <w:b/>
          <w:i w:val="0"/>
          <w:caps w:val="0"/>
          <w:color w:val="0F1115"/>
          <w:spacing w:val="0"/>
          <w:sz w:val="18"/>
          <w:szCs w:val="18"/>
          <w:shd w:val="clear" w:fill="FFFFFF"/>
        </w:rPr>
        <w:t>locking in the technology gap</w:t>
      </w:r>
      <w:r>
        <w:rPr>
          <w:rFonts w:hint="default" w:ascii="Segoe UI" w:hAnsi="Segoe UI" w:eastAsia="Segoe UI" w:cs="Segoe UI"/>
          <w:i w:val="0"/>
          <w:caps w:val="0"/>
          <w:color w:val="0F1115"/>
          <w:spacing w:val="0"/>
          <w:sz w:val="18"/>
          <w:szCs w:val="18"/>
          <w:shd w:val="clear" w:fill="FFFFFF"/>
        </w:rPr>
        <w:t> by restricting equipment (ASML), software (EDA), and talent flows. Guangdong’s current policies struggle against the "race to the bottom" risk.</w:t>
      </w:r>
    </w:p>
    <w:p>
      <w:pPr>
        <w:rPr>
          <w:rFonts w:hint="default" w:ascii="Segoe UI" w:hAnsi="Segoe UI" w:eastAsia="Segoe UI" w:cs="Segoe UI"/>
          <w:i w:val="0"/>
          <w:caps w:val="0"/>
          <w:color w:val="0F1115"/>
          <w:spacing w:val="0"/>
          <w:sz w:val="18"/>
          <w:szCs w:val="18"/>
          <w:shd w:val="clear" w:fill="FFFFFF"/>
        </w:rPr>
      </w:pPr>
    </w:p>
    <w:p>
      <w:pPr>
        <w:pStyle w:val="6"/>
        <w:keepNext w:val="0"/>
        <w:keepLines w:val="0"/>
        <w:widowControl/>
        <w:suppressLineNumbers w:val="0"/>
        <w:shd w:val="clear" w:fill="FFFFFF"/>
        <w:spacing w:before="120" w:beforeAutospacing="0" w:after="120" w:afterAutospacing="0" w:line="210" w:lineRule="atLeast"/>
        <w:ind w:left="0" w:right="0" w:firstLine="0"/>
        <w:rPr>
          <w:rFonts w:ascii="Segoe UI" w:hAnsi="Segoe UI" w:eastAsia="Segoe UI" w:cs="Segoe UI"/>
          <w:b/>
          <w:caps w:val="0"/>
          <w:color w:val="0F1115"/>
          <w:spacing w:val="0"/>
          <w:sz w:val="18"/>
          <w:szCs w:val="18"/>
        </w:rPr>
      </w:pPr>
      <w:r>
        <w:rPr>
          <w:rFonts w:hint="default" w:ascii="Segoe UI" w:hAnsi="Segoe UI" w:eastAsia="Segoe UI" w:cs="Segoe UI"/>
          <w:b/>
          <w:caps w:val="0"/>
          <w:color w:val="0F1115"/>
          <w:spacing w:val="0"/>
          <w:sz w:val="18"/>
          <w:szCs w:val="18"/>
          <w:shd w:val="clear" w:fill="FFFFFF"/>
        </w:rPr>
        <w:t>3. Talent System: Local Scale-Up vs. Global Top-Tier Recruitment</w:t>
      </w:r>
    </w:p>
    <w:tbl>
      <w:tblPr>
        <w:tblW w:w="8938"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Layout w:type="autofit"/>
        <w:tblCellMar>
          <w:top w:w="15" w:type="dxa"/>
          <w:left w:w="15" w:type="dxa"/>
          <w:bottom w:w="15" w:type="dxa"/>
          <w:right w:w="15" w:type="dxa"/>
        </w:tblCellMar>
      </w:tblPr>
      <w:tblGrid>
        <w:gridCol w:w="1165"/>
        <w:gridCol w:w="3426"/>
        <w:gridCol w:w="4347"/>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rHeight w:val="291" w:hRule="atLeast"/>
          <w:tblHeader/>
        </w:trPr>
        <w:tc>
          <w:tcPr>
            <w:tcW w:w="0" w:type="auto"/>
            <w:shd w:val="clear" w:color="auto" w:fill="FFFFFF"/>
            <w:tcMar>
              <w:top w:w="75" w:type="dxa"/>
              <w:left w:w="0" w:type="dxa"/>
              <w:bottom w:w="75" w:type="dxa"/>
              <w:right w:w="120" w:type="dxa"/>
            </w:tcMar>
            <w:vAlign w:val="center"/>
          </w:tcPr>
          <w:p>
            <w:pPr>
              <w:keepNext w:val="0"/>
              <w:keepLines w:val="0"/>
              <w:widowControl/>
              <w:suppressLineNumbers w:val="0"/>
              <w:spacing w:line="188" w:lineRule="atLeast"/>
              <w:jc w:val="left"/>
              <w:rPr>
                <w:rFonts w:ascii="Segoe UI" w:hAnsi="Segoe UI" w:eastAsia="Segoe UI" w:cs="Segoe UI"/>
                <w:i w:val="0"/>
                <w:caps w:val="0"/>
                <w:color w:val="0F1115"/>
                <w:spacing w:val="0"/>
                <w:sz w:val="18"/>
                <w:szCs w:val="18"/>
              </w:rPr>
            </w:pPr>
            <w:bookmarkStart w:id="0" w:name="_GoBack"/>
            <w:r>
              <w:rPr>
                <w:rFonts w:hint="default" w:ascii="Segoe UI" w:hAnsi="Segoe UI" w:eastAsia="Segoe UI" w:cs="Segoe UI"/>
                <w:i w:val="0"/>
                <w:caps w:val="0"/>
                <w:color w:val="0F1115"/>
                <w:spacing w:val="0"/>
                <w:kern w:val="0"/>
                <w:sz w:val="18"/>
                <w:szCs w:val="18"/>
                <w:bdr w:val="none" w:color="auto" w:sz="0" w:space="0"/>
                <w:lang w:val="en-US" w:eastAsia="zh-CN" w:bidi="ar"/>
              </w:rPr>
              <w:t>Dimension</w:t>
            </w:r>
          </w:p>
        </w:tc>
        <w:tc>
          <w:tcPr>
            <w:tcW w:w="0" w:type="auto"/>
            <w:shd w:val="clear" w:color="auto" w:fill="FFFFFF"/>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Guangdong Province</w:t>
            </w:r>
          </w:p>
        </w:tc>
        <w:tc>
          <w:tcPr>
            <w:tcW w:w="0" w:type="auto"/>
            <w:shd w:val="clear" w:color="auto" w:fill="FFFFFF"/>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United States</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15" w:type="dxa"/>
            <w:left w:w="15" w:type="dxa"/>
            <w:bottom w:w="15" w:type="dxa"/>
            <w:right w:w="15" w:type="dxa"/>
          </w:tblCellMar>
        </w:tblPrEx>
        <w:trPr>
          <w:trHeight w:val="868" w:hRule="atLeast"/>
        </w:trPr>
        <w:tc>
          <w:tcPr>
            <w:tcW w:w="0" w:type="auto"/>
            <w:shd w:val="clear" w:color="auto" w:fill="FFFFFF"/>
            <w:tcMar>
              <w:top w:w="75" w:type="dxa"/>
              <w:left w:w="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b/>
                <w:i w:val="0"/>
                <w:caps w:val="0"/>
                <w:color w:val="0F1115"/>
                <w:spacing w:val="0"/>
                <w:kern w:val="0"/>
                <w:sz w:val="18"/>
                <w:szCs w:val="18"/>
                <w:bdr w:val="none" w:color="auto" w:sz="0" w:space="0"/>
                <w:lang w:val="en-US" w:eastAsia="zh-CN" w:bidi="ar"/>
              </w:rPr>
              <w:t>Training</w:t>
            </w:r>
          </w:p>
        </w:tc>
        <w:tc>
          <w:tcPr>
            <w:tcW w:w="0" w:type="auto"/>
            <w:shd w:val="clear" w:color="auto" w:fill="FFFFFF"/>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Expand local university enrollments (SYS, SCUT, GDUT) and IC programs</w:t>
            </w:r>
          </w:p>
        </w:tc>
        <w:tc>
          <w:tcPr>
            <w:tcW w:w="0" w:type="auto"/>
            <w:shd w:val="clear" w:color="auto" w:fill="FFFFFF"/>
            <w:tcMar>
              <w:top w:w="75" w:type="dxa"/>
              <w:left w:w="120" w:type="dxa"/>
              <w:bottom w:w="75" w:type="dxa"/>
              <w:right w:w="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Top university translation (Stanford, Berkeley) + H-1B visa absorption (esp. from China/India)</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rHeight w:val="868" w:hRule="atLeast"/>
        </w:trPr>
        <w:tc>
          <w:tcPr>
            <w:tcW w:w="0" w:type="auto"/>
            <w:shd w:val="clear" w:color="auto" w:fill="FFFFFF"/>
            <w:tcMar>
              <w:top w:w="75" w:type="dxa"/>
              <w:left w:w="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b/>
                <w:i w:val="0"/>
                <w:caps w:val="0"/>
                <w:color w:val="0F1115"/>
                <w:spacing w:val="0"/>
                <w:kern w:val="0"/>
                <w:sz w:val="18"/>
                <w:szCs w:val="18"/>
                <w:bdr w:val="none" w:color="auto" w:sz="0" w:space="0"/>
                <w:lang w:val="en-US" w:eastAsia="zh-CN" w:bidi="ar"/>
              </w:rPr>
              <w:t>Recruitment</w:t>
            </w:r>
          </w:p>
        </w:tc>
        <w:tc>
          <w:tcPr>
            <w:tcW w:w="0" w:type="auto"/>
            <w:shd w:val="clear" w:color="auto" w:fill="FFFFFF"/>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Housing subsidies, relocation packages, research startup funds</w:t>
            </w:r>
          </w:p>
        </w:tc>
        <w:tc>
          <w:tcPr>
            <w:tcW w:w="0" w:type="auto"/>
            <w:shd w:val="clear" w:color="auto" w:fill="FFFFFF"/>
            <w:tcMar>
              <w:top w:w="75" w:type="dxa"/>
              <w:left w:w="120" w:type="dxa"/>
              <w:bottom w:w="75" w:type="dxa"/>
              <w:right w:w="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Top-tier salaries, mature equity/option structures (Silicon Valley), favorable immigration pathways</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15" w:type="dxa"/>
            <w:left w:w="15" w:type="dxa"/>
            <w:bottom w:w="15" w:type="dxa"/>
            <w:right w:w="15" w:type="dxa"/>
          </w:tblCellMar>
        </w:tblPrEx>
        <w:trPr>
          <w:trHeight w:val="682" w:hRule="atLeast"/>
        </w:trPr>
        <w:tc>
          <w:tcPr>
            <w:tcW w:w="0" w:type="auto"/>
            <w:shd w:val="clear" w:color="auto" w:fill="FFFFFF"/>
            <w:tcMar>
              <w:top w:w="75" w:type="dxa"/>
              <w:left w:w="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b/>
                <w:i w:val="0"/>
                <w:caps w:val="0"/>
                <w:color w:val="0F1115"/>
                <w:spacing w:val="0"/>
                <w:kern w:val="0"/>
                <w:sz w:val="18"/>
                <w:szCs w:val="18"/>
                <w:bdr w:val="none" w:color="auto" w:sz="0" w:space="0"/>
                <w:lang w:val="en-US" w:eastAsia="zh-CN" w:bidi="ar"/>
              </w:rPr>
              <w:t>Challenge</w:t>
            </w:r>
          </w:p>
        </w:tc>
        <w:tc>
          <w:tcPr>
            <w:tcW w:w="0" w:type="auto"/>
            <w:shd w:val="clear" w:color="auto" w:fill="FFFFFF"/>
            <w:tcMar>
              <w:top w:w="75" w:type="dxa"/>
              <w:left w:w="120" w:type="dxa"/>
              <w:bottom w:w="75" w:type="dxa"/>
              <w:right w:w="12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Shortage of high-end leaders; long training cycles</w:t>
            </w:r>
          </w:p>
        </w:tc>
        <w:tc>
          <w:tcPr>
            <w:tcW w:w="0" w:type="auto"/>
            <w:shd w:val="clear" w:color="auto" w:fill="FFFFFF"/>
            <w:tcMar>
              <w:top w:w="75" w:type="dxa"/>
              <w:left w:w="120" w:type="dxa"/>
              <w:bottom w:w="75" w:type="dxa"/>
              <w:right w:w="0" w:type="dxa"/>
            </w:tcMar>
            <w:vAlign w:val="center"/>
          </w:tcPr>
          <w:p>
            <w:pPr>
              <w:keepNext w:val="0"/>
              <w:keepLines w:val="0"/>
              <w:widowControl/>
              <w:suppressLineNumbers w:val="0"/>
              <w:spacing w:line="188" w:lineRule="atLeast"/>
              <w:jc w:val="left"/>
              <w:rPr>
                <w:rFonts w:hint="default"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kern w:val="0"/>
                <w:sz w:val="18"/>
                <w:szCs w:val="18"/>
                <w:bdr w:val="none" w:color="auto" w:sz="0" w:space="0"/>
                <w:lang w:val="en-US" w:eastAsia="zh-CN" w:bidi="ar"/>
              </w:rPr>
              <w:t>Returnee trend of ethnic Chinese scientists amid US-China tensions</w:t>
            </w:r>
          </w:p>
        </w:tc>
      </w:tr>
      <w:bookmarkEnd w:id="0"/>
    </w:tbl>
    <w:p>
      <w:pPr>
        <w:rPr>
          <w:rFonts w:hint="default" w:ascii="Segoe UI" w:hAnsi="Segoe UI" w:eastAsia="Segoe UI" w:cs="Segoe UI"/>
          <w:i w:val="0"/>
          <w:caps w:val="0"/>
          <w:color w:val="0F1115"/>
          <w:spacing w:val="0"/>
          <w:sz w:val="18"/>
          <w:szCs w:val="18"/>
          <w:shd w:val="clear" w:fill="FFFFFF"/>
        </w:rPr>
      </w:pPr>
      <w:r>
        <w:rPr>
          <w:rFonts w:ascii="Segoe UI" w:hAnsi="Segoe UI" w:eastAsia="Segoe UI" w:cs="Segoe UI"/>
          <w:b/>
          <w:i w:val="0"/>
          <w:caps w:val="0"/>
          <w:color w:val="0F1115"/>
          <w:spacing w:val="0"/>
          <w:sz w:val="18"/>
          <w:szCs w:val="18"/>
          <w:shd w:val="clear" w:fill="FFFFFF"/>
        </w:rPr>
        <w:t>Analysis:</w:t>
      </w:r>
      <w:r>
        <w:rPr>
          <w:rFonts w:hint="default" w:ascii="Segoe UI" w:hAnsi="Segoe UI" w:eastAsia="Segoe UI" w:cs="Segoe UI"/>
          <w:i w:val="0"/>
          <w:caps w:val="0"/>
          <w:color w:val="0F1115"/>
          <w:spacing w:val="0"/>
          <w:sz w:val="18"/>
          <w:szCs w:val="18"/>
          <w:shd w:val="clear" w:fill="FFFFFF"/>
        </w:rPr>
        <w:t> Guangdong focuses on </w:t>
      </w:r>
      <w:r>
        <w:rPr>
          <w:rFonts w:hint="default" w:ascii="Segoe UI" w:hAnsi="Segoe UI" w:eastAsia="Segoe UI" w:cs="Segoe UI"/>
          <w:b/>
          <w:i w:val="0"/>
          <w:caps w:val="0"/>
          <w:color w:val="0F1115"/>
          <w:spacing w:val="0"/>
          <w:sz w:val="18"/>
          <w:szCs w:val="18"/>
          <w:shd w:val="clear" w:fill="FFFFFF"/>
        </w:rPr>
        <w:t>supply-side expansion</w:t>
      </w:r>
      <w:r>
        <w:rPr>
          <w:rFonts w:hint="default" w:ascii="Segoe UI" w:hAnsi="Segoe UI" w:eastAsia="Segoe UI" w:cs="Segoe UI"/>
          <w:i w:val="0"/>
          <w:caps w:val="0"/>
          <w:color w:val="0F1115"/>
          <w:spacing w:val="0"/>
          <w:sz w:val="18"/>
          <w:szCs w:val="18"/>
          <w:shd w:val="clear" w:fill="FFFFFF"/>
        </w:rPr>
        <w:t> via local university training. The US excels at </w:t>
      </w:r>
      <w:r>
        <w:rPr>
          <w:rFonts w:hint="default" w:ascii="Segoe UI" w:hAnsi="Segoe UI" w:eastAsia="Segoe UI" w:cs="Segoe UI"/>
          <w:b/>
          <w:i w:val="0"/>
          <w:caps w:val="0"/>
          <w:color w:val="0F1115"/>
          <w:spacing w:val="0"/>
          <w:sz w:val="18"/>
          <w:szCs w:val="18"/>
          <w:shd w:val="clear" w:fill="FFFFFF"/>
        </w:rPr>
        <w:t>efficient global allocation</w:t>
      </w:r>
      <w:r>
        <w:rPr>
          <w:rFonts w:hint="default" w:ascii="Segoe UI" w:hAnsi="Segoe UI" w:eastAsia="Segoe UI" w:cs="Segoe UI"/>
          <w:i w:val="0"/>
          <w:caps w:val="0"/>
          <w:color w:val="0F1115"/>
          <w:spacing w:val="0"/>
          <w:sz w:val="18"/>
          <w:szCs w:val="18"/>
          <w:shd w:val="clear" w:fill="FFFFFF"/>
        </w:rPr>
        <w:t>—using the world’s best talent for cutting-edge R&amp;D. Given current tensions, Guangdong could attract returnee Chinese scientists from Silicon Valley, but currently lacks sufficiently targeted "one-person-one-policy" mechanisms.</w:t>
      </w:r>
    </w:p>
    <w:p>
      <w:pPr>
        <w:rPr>
          <w:rFonts w:hint="default" w:ascii="Segoe UI" w:hAnsi="Segoe UI" w:eastAsia="Segoe UI" w:cs="Segoe UI"/>
          <w:i w:val="0"/>
          <w:caps w:val="0"/>
          <w:color w:val="0F1115"/>
          <w:spacing w:val="0"/>
          <w:sz w:val="18"/>
          <w:szCs w:val="18"/>
          <w:shd w:val="clear" w:fill="FFFFFF"/>
        </w:rPr>
      </w:pPr>
    </w:p>
    <w:p>
      <w:pPr>
        <w:pStyle w:val="3"/>
        <w:bidi w:val="0"/>
      </w:pPr>
      <w:r>
        <w:rPr>
          <w:rFonts w:hint="default"/>
        </w:rPr>
        <w:t>III. Preliminary Policy Optimization Recommendations for Guangdong (Addressing External Environment Changes)</w:t>
      </w:r>
    </w:p>
    <w:p>
      <w:pPr>
        <w:pStyle w:val="7"/>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caps w:val="0"/>
          <w:color w:val="0F1115"/>
          <w:spacing w:val="0"/>
          <w:sz w:val="18"/>
          <w:szCs w:val="18"/>
        </w:rPr>
      </w:pPr>
      <w:r>
        <w:rPr>
          <w:rFonts w:hint="default" w:ascii="Segoe UI" w:hAnsi="Segoe UI" w:eastAsia="Segoe UI" w:cs="Segoe UI"/>
          <w:i w:val="0"/>
          <w:caps w:val="0"/>
          <w:color w:val="0F1115"/>
          <w:spacing w:val="0"/>
          <w:sz w:val="18"/>
          <w:szCs w:val="18"/>
          <w:shd w:val="clear" w:fill="FFFFFF"/>
        </w:rPr>
        <w:t>Given tightening US investment restrictions (2025 rules covering Hong Kong/Macau), Guangdong should complement existing support with the following targeted adjustments:</w:t>
      </w:r>
    </w:p>
    <w:p>
      <w:pPr>
        <w:pStyle w:val="6"/>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caps w:val="0"/>
          <w:color w:val="0F1115"/>
          <w:spacing w:val="0"/>
          <w:sz w:val="18"/>
          <w:szCs w:val="18"/>
        </w:rPr>
      </w:pPr>
      <w:r>
        <w:rPr>
          <w:rFonts w:hint="default" w:ascii="Segoe UI" w:hAnsi="Segoe UI" w:eastAsia="Segoe UI" w:cs="Segoe UI"/>
          <w:b/>
          <w:caps w:val="0"/>
          <w:color w:val="0F1115"/>
          <w:spacing w:val="0"/>
          <w:sz w:val="18"/>
          <w:szCs w:val="18"/>
          <w:shd w:val="clear" w:fill="FFFFFF"/>
        </w:rPr>
        <w:t>Recommendation 1: Establish a "De-US" Supply Chain Risk Compensation Fund</w:t>
      </w:r>
    </w:p>
    <w:p>
      <w:pPr>
        <w:pStyle w:val="7"/>
        <w:keepNext w:val="0"/>
        <w:keepLines w:val="0"/>
        <w:widowControl/>
        <w:suppressLineNumbers w:val="0"/>
        <w:shd w:val="clear" w:fill="FFFFFF"/>
        <w:spacing w:before="120" w:beforeAutospacing="0" w:after="120" w:afterAutospacing="0"/>
        <w:ind w:left="0" w:right="0" w:firstLine="0"/>
        <w:rPr>
          <w:sz w:val="40"/>
          <w:szCs w:val="40"/>
        </w:rPr>
      </w:pPr>
      <w:r>
        <w:rPr>
          <w:rFonts w:hint="default" w:ascii="Segoe UI" w:hAnsi="Segoe UI" w:eastAsia="Segoe UI" w:cs="Segoe UI"/>
          <w:i w:val="0"/>
          <w:caps w:val="0"/>
          <w:color w:val="0F1115"/>
          <w:spacing w:val="0"/>
          <w:sz w:val="18"/>
          <w:szCs w:val="18"/>
          <w:shd w:val="clear" w:fill="FFFFFF"/>
        </w:rPr>
        <w:t>The exit of US capital has created a funding gap. Create a fund not only for equipment subsidies but also to </w:t>
      </w:r>
      <w:r>
        <w:rPr>
          <w:rFonts w:hint="default" w:ascii="Segoe UI" w:hAnsi="Segoe UI" w:eastAsia="Segoe UI" w:cs="Segoe UI"/>
          <w:b/>
          <w:i w:val="0"/>
          <w:caps w:val="0"/>
          <w:color w:val="0F1115"/>
          <w:spacing w:val="0"/>
          <w:sz w:val="18"/>
          <w:szCs w:val="18"/>
          <w:shd w:val="clear" w:fill="FFFFFF"/>
        </w:rPr>
        <w:t>compensate risks of domestic equipment entering production lines</w:t>
      </w:r>
      <w:r>
        <w:rPr>
          <w:rFonts w:hint="default" w:ascii="Segoe UI" w:hAnsi="Segoe UI" w:eastAsia="Segoe UI" w:cs="Segoe UI"/>
          <w:i w:val="0"/>
          <w:caps w:val="0"/>
          <w:color w:val="0F1115"/>
          <w:spacing w:val="0"/>
          <w:sz w:val="18"/>
          <w:szCs w:val="18"/>
          <w:shd w:val="clear" w:fill="FFFFFF"/>
        </w:rPr>
        <w:t>.</w:t>
      </w:r>
    </w:p>
    <w:p>
      <w:pPr>
        <w:pStyle w:val="7"/>
        <w:keepNext w:val="0"/>
        <w:keepLines w:val="0"/>
        <w:widowControl/>
        <w:suppressLineNumbers w:val="0"/>
        <w:spacing w:before="0" w:beforeAutospacing="0" w:after="0" w:afterAutospacing="0"/>
        <w:ind w:left="0" w:right="0"/>
        <w:rPr>
          <w:rFonts w:hint="default" w:ascii="Segoe UI" w:hAnsi="Segoe UI" w:eastAsia="Segoe UI" w:cs="Segoe UI"/>
          <w:i w:val="0"/>
          <w:caps w:val="0"/>
          <w:color w:val="0F1115"/>
          <w:spacing w:val="0"/>
          <w:sz w:val="18"/>
          <w:szCs w:val="18"/>
          <w:shd w:val="clear" w:fill="FFFFFF"/>
        </w:rPr>
      </w:pPr>
      <w:r>
        <w:rPr>
          <w:rFonts w:ascii="Segoe UI" w:hAnsi="Segoe UI" w:eastAsia="Segoe UI" w:cs="Segoe UI"/>
          <w:b/>
          <w:i w:val="0"/>
          <w:caps w:val="0"/>
          <w:color w:val="0F1115"/>
          <w:spacing w:val="0"/>
          <w:sz w:val="18"/>
          <w:szCs w:val="18"/>
          <w:shd w:val="clear" w:fill="FFFFFF"/>
        </w:rPr>
        <w:t>Action:</w:t>
      </w:r>
      <w:r>
        <w:rPr>
          <w:rFonts w:hint="default" w:ascii="Segoe UI" w:hAnsi="Segoe UI" w:eastAsia="Segoe UI" w:cs="Segoe UI"/>
          <w:i w:val="0"/>
          <w:caps w:val="0"/>
          <w:color w:val="0F1115"/>
          <w:spacing w:val="0"/>
          <w:sz w:val="18"/>
          <w:szCs w:val="18"/>
          <w:shd w:val="clear" w:fill="FFFFFF"/>
        </w:rPr>
        <w:t> For first-time adoption of domestic etchers, deposition tools, etc. by provincial fabs, the provincial government covers part of yield loss or capacity disruption from trial runs—encouraging "use as much as possible" to accelerate domestic equipment iteration.</w:t>
      </w:r>
    </w:p>
    <w:p>
      <w:pPr>
        <w:pStyle w:val="6"/>
        <w:keepNext w:val="0"/>
        <w:keepLines w:val="0"/>
        <w:widowControl/>
        <w:suppressLineNumbers w:val="0"/>
        <w:shd w:val="clear" w:fill="FFFFFF"/>
        <w:spacing w:before="120" w:beforeAutospacing="0" w:after="120" w:afterAutospacing="0" w:line="210" w:lineRule="atLeast"/>
        <w:ind w:left="0" w:right="0" w:firstLine="0"/>
        <w:rPr>
          <w:rFonts w:ascii="Segoe UI" w:hAnsi="Segoe UI" w:eastAsia="Segoe UI" w:cs="Segoe UI"/>
          <w:b/>
          <w:caps w:val="0"/>
          <w:color w:val="0F1115"/>
          <w:spacing w:val="0"/>
          <w:sz w:val="18"/>
          <w:szCs w:val="18"/>
        </w:rPr>
      </w:pPr>
      <w:r>
        <w:rPr>
          <w:rFonts w:hint="default" w:ascii="Segoe UI" w:hAnsi="Segoe UI" w:eastAsia="Segoe UI" w:cs="Segoe UI"/>
          <w:b/>
          <w:caps w:val="0"/>
          <w:color w:val="0F1115"/>
          <w:spacing w:val="0"/>
          <w:sz w:val="18"/>
          <w:szCs w:val="18"/>
          <w:shd w:val="clear" w:fill="FFFFFF"/>
        </w:rPr>
        <w:t>Recommendation 2: Shift from "Investment Attraction" to "Embedded Innovation" – Focus on Niche Sectors</w:t>
      </w:r>
    </w:p>
    <w:p>
      <w:pPr>
        <w:pStyle w:val="7"/>
        <w:keepNext w:val="0"/>
        <w:keepLines w:val="0"/>
        <w:widowControl/>
        <w:suppressLineNumbers w:val="0"/>
        <w:shd w:val="clear" w:fill="FFFFFF"/>
        <w:spacing w:before="120" w:beforeAutospacing="0" w:after="120" w:afterAutospacing="0"/>
        <w:ind w:left="0" w:right="0" w:firstLine="0"/>
        <w:rPr>
          <w:sz w:val="40"/>
          <w:szCs w:val="40"/>
        </w:rPr>
      </w:pPr>
      <w:r>
        <w:rPr>
          <w:rFonts w:hint="default" w:ascii="Segoe UI" w:hAnsi="Segoe UI" w:eastAsia="Segoe UI" w:cs="Segoe UI"/>
          <w:i w:val="0"/>
          <w:caps w:val="0"/>
          <w:color w:val="0F1115"/>
          <w:spacing w:val="0"/>
          <w:sz w:val="18"/>
          <w:szCs w:val="18"/>
          <w:shd w:val="clear" w:fill="FFFFFF"/>
        </w:rPr>
        <w:t>With long-term external technology blockades, simply importing advanced technology is no longer viable. Focus on Guangdong’s advantageous niches: </w:t>
      </w:r>
      <w:r>
        <w:rPr>
          <w:rFonts w:hint="default" w:ascii="Segoe UI" w:hAnsi="Segoe UI" w:eastAsia="Segoe UI" w:cs="Segoe UI"/>
          <w:b/>
          <w:i w:val="0"/>
          <w:caps w:val="0"/>
          <w:color w:val="0F1115"/>
          <w:spacing w:val="0"/>
          <w:sz w:val="18"/>
          <w:szCs w:val="18"/>
          <w:shd w:val="clear" w:fill="FFFFFF"/>
        </w:rPr>
        <w:t>silicon photonics, automotive-grade MCUs, analog chips</w:t>
      </w:r>
      <w:r>
        <w:rPr>
          <w:rFonts w:hint="default" w:ascii="Segoe UI" w:hAnsi="Segoe UI" w:eastAsia="Segoe UI" w:cs="Segoe UI"/>
          <w:i w:val="0"/>
          <w:caps w:val="0"/>
          <w:color w:val="0F1115"/>
          <w:spacing w:val="0"/>
          <w:sz w:val="18"/>
          <w:szCs w:val="18"/>
          <w:shd w:val="clear" w:fill="FFFFFF"/>
        </w:rPr>
        <w:t> for asymmetric catch-up.</w:t>
      </w:r>
    </w:p>
    <w:p>
      <w:pPr>
        <w:pStyle w:val="7"/>
        <w:keepNext w:val="0"/>
        <w:keepLines w:val="0"/>
        <w:widowControl/>
        <w:suppressLineNumbers w:val="0"/>
        <w:spacing w:before="0" w:beforeAutospacing="0" w:after="0" w:afterAutospacing="0"/>
        <w:ind w:left="0" w:right="0"/>
        <w:rPr>
          <w:rFonts w:hint="default" w:ascii="Segoe UI" w:hAnsi="Segoe UI" w:eastAsia="Segoe UI" w:cs="Segoe UI"/>
          <w:i w:val="0"/>
          <w:caps w:val="0"/>
          <w:color w:val="0F1115"/>
          <w:spacing w:val="0"/>
          <w:sz w:val="18"/>
          <w:szCs w:val="18"/>
          <w:shd w:val="clear" w:fill="FFFFFF"/>
        </w:rPr>
      </w:pPr>
      <w:r>
        <w:rPr>
          <w:rFonts w:ascii="Segoe UI" w:hAnsi="Segoe UI" w:eastAsia="Segoe UI" w:cs="Segoe UI"/>
          <w:b/>
          <w:i w:val="0"/>
          <w:caps w:val="0"/>
          <w:color w:val="0F1115"/>
          <w:spacing w:val="0"/>
          <w:sz w:val="18"/>
          <w:szCs w:val="18"/>
          <w:shd w:val="clear" w:fill="FFFFFF"/>
        </w:rPr>
        <w:t>Action:</w:t>
      </w:r>
      <w:r>
        <w:rPr>
          <w:rFonts w:hint="default" w:ascii="Segoe UI" w:hAnsi="Segoe UI" w:eastAsia="Segoe UI" w:cs="Segoe UI"/>
          <w:i w:val="0"/>
          <w:caps w:val="0"/>
          <w:color w:val="0F1115"/>
          <w:spacing w:val="0"/>
          <w:sz w:val="18"/>
          <w:szCs w:val="18"/>
          <w:shd w:val="clear" w:fill="FFFFFF"/>
        </w:rPr>
        <w:t> Leverage the massive consumer electronics and smart vehicle markets in the Greater Bay Area. Establish "Greater Bay Area Standards" stricter than global norms, mandating or incentivizing procurement of compliant, domestic-substitutable chips—using </w:t>
      </w:r>
      <w:r>
        <w:rPr>
          <w:rFonts w:hint="default" w:ascii="Segoe UI" w:hAnsi="Segoe UI" w:eastAsia="Segoe UI" w:cs="Segoe UI"/>
          <w:b/>
          <w:i w:val="0"/>
          <w:caps w:val="0"/>
          <w:color w:val="0F1115"/>
          <w:spacing w:val="0"/>
          <w:sz w:val="18"/>
          <w:szCs w:val="18"/>
          <w:shd w:val="clear" w:fill="FFFFFF"/>
        </w:rPr>
        <w:t>market access as a bargaining chip</w:t>
      </w:r>
      <w:r>
        <w:rPr>
          <w:rFonts w:hint="default" w:ascii="Segoe UI" w:hAnsi="Segoe UI" w:eastAsia="Segoe UI" w:cs="Segoe UI"/>
          <w:i w:val="0"/>
          <w:caps w:val="0"/>
          <w:color w:val="0F1115"/>
          <w:spacing w:val="0"/>
          <w:sz w:val="18"/>
          <w:szCs w:val="18"/>
          <w:shd w:val="clear" w:fill="FFFFFF"/>
        </w:rPr>
        <w:t> to buy time for local technology iteration.</w:t>
      </w:r>
    </w:p>
    <w:p>
      <w:pPr>
        <w:pStyle w:val="6"/>
        <w:keepNext w:val="0"/>
        <w:keepLines w:val="0"/>
        <w:widowControl/>
        <w:suppressLineNumbers w:val="0"/>
        <w:spacing w:before="120" w:beforeAutospacing="0" w:after="120" w:afterAutospacing="0" w:line="210" w:lineRule="atLeast"/>
        <w:ind w:right="330"/>
        <w:rPr>
          <w:rFonts w:ascii="Segoe UI" w:hAnsi="Segoe UI" w:eastAsia="Segoe UI" w:cs="Segoe UI"/>
          <w:b/>
          <w:sz w:val="18"/>
          <w:szCs w:val="18"/>
        </w:rPr>
      </w:pPr>
      <w:r>
        <w:rPr>
          <w:rFonts w:hint="default" w:ascii="Segoe UI" w:hAnsi="Segoe UI" w:eastAsia="Segoe UI" w:cs="Segoe UI"/>
          <w:b/>
          <w:i w:val="0"/>
          <w:caps w:val="0"/>
          <w:color w:val="0F1115"/>
          <w:spacing w:val="0"/>
          <w:sz w:val="18"/>
          <w:szCs w:val="18"/>
          <w:shd w:val="clear" w:fill="FFFFFF"/>
        </w:rPr>
        <w:t>Recommendation 3: Implement a "Strategic Scientist" System for Returning Top Talent</w:t>
      </w:r>
    </w:p>
    <w:p>
      <w:pPr>
        <w:pStyle w:val="7"/>
        <w:keepNext w:val="0"/>
        <w:keepLines w:val="0"/>
        <w:widowControl/>
        <w:suppressLineNumbers w:val="0"/>
        <w:spacing w:before="120" w:beforeAutospacing="0" w:after="120" w:afterAutospacing="0" w:line="210" w:lineRule="atLeast"/>
        <w:ind w:right="330"/>
        <w:rPr>
          <w:sz w:val="40"/>
          <w:szCs w:val="40"/>
        </w:rPr>
      </w:pPr>
      <w:r>
        <w:rPr>
          <w:rFonts w:hint="default" w:ascii="Segoe UI" w:hAnsi="Segoe UI" w:eastAsia="Segoe UI" w:cs="Segoe UI"/>
          <w:i w:val="0"/>
          <w:caps w:val="0"/>
          <w:color w:val="0F1115"/>
          <w:spacing w:val="0"/>
          <w:sz w:val="18"/>
          <w:szCs w:val="18"/>
          <w:shd w:val="clear" w:fill="FFFFFF"/>
        </w:rPr>
        <w:t>Capitalize on the return wave of ethnic Chinese scientists from the US due to tightened immigration and geopolitical tensions.</w:t>
      </w:r>
    </w:p>
    <w:p>
      <w:pPr>
        <w:pStyle w:val="7"/>
        <w:keepNext w:val="0"/>
        <w:keepLines w:val="0"/>
        <w:widowControl/>
        <w:suppressLineNumbers w:val="0"/>
        <w:spacing w:before="0" w:beforeAutospacing="0" w:after="0" w:afterAutospacing="0" w:line="210" w:lineRule="atLeast"/>
        <w:ind w:right="330"/>
        <w:rPr>
          <w:sz w:val="40"/>
          <w:szCs w:val="40"/>
        </w:rPr>
      </w:pPr>
      <w:r>
        <w:rPr>
          <w:rFonts w:hint="default" w:ascii="Segoe UI" w:hAnsi="Segoe UI" w:eastAsia="Segoe UI" w:cs="Segoe UI"/>
          <w:b/>
          <w:i w:val="0"/>
          <w:caps w:val="0"/>
          <w:color w:val="0F1115"/>
          <w:spacing w:val="0"/>
          <w:sz w:val="18"/>
          <w:szCs w:val="18"/>
          <w:shd w:val="clear" w:fill="FFFFFF"/>
        </w:rPr>
        <w:t>Action:</w:t>
      </w:r>
      <w:r>
        <w:rPr>
          <w:rFonts w:hint="default" w:ascii="Segoe UI" w:hAnsi="Segoe UI" w:eastAsia="Segoe UI" w:cs="Segoe UI"/>
          <w:i w:val="0"/>
          <w:caps w:val="0"/>
          <w:color w:val="0F1115"/>
          <w:spacing w:val="0"/>
          <w:sz w:val="18"/>
          <w:szCs w:val="18"/>
          <w:shd w:val="clear" w:fill="FFFFFF"/>
        </w:rPr>
        <w:t> Leverage platforms like Hengqin, Qianhai, Nansha to establish </w:t>
      </w:r>
      <w:r>
        <w:rPr>
          <w:rFonts w:hint="default" w:ascii="Segoe UI" w:hAnsi="Segoe UI" w:eastAsia="Segoe UI" w:cs="Segoe UI"/>
          <w:b/>
          <w:i w:val="0"/>
          <w:caps w:val="0"/>
          <w:color w:val="0F1115"/>
          <w:spacing w:val="0"/>
          <w:sz w:val="18"/>
          <w:szCs w:val="18"/>
          <w:shd w:val="clear" w:fill="FFFFFF"/>
        </w:rPr>
        <w:t>"offshore" innovation centers</w:t>
      </w:r>
      <w:r>
        <w:rPr>
          <w:rFonts w:hint="default" w:ascii="Segoe UI" w:hAnsi="Segoe UI" w:eastAsia="Segoe UI" w:cs="Segoe UI"/>
          <w:i w:val="0"/>
          <w:caps w:val="0"/>
          <w:color w:val="0F1115"/>
          <w:spacing w:val="0"/>
          <w:sz w:val="18"/>
          <w:szCs w:val="18"/>
          <w:shd w:val="clear" w:fill="FFFFFF"/>
        </w:rPr>
        <w:t>. Allow overseas high-level talent to retain foreign nationality and overseas positions while participating in Guangdong R&amp;D in a "dual-basis" mode. Apply a "negative list" approach to research funding and individual income tax reductions, maximizing talent dividends.</w:t>
      </w:r>
    </w:p>
    <w:p>
      <w:pPr>
        <w:pStyle w:val="6"/>
        <w:keepNext w:val="0"/>
        <w:keepLines w:val="0"/>
        <w:widowControl/>
        <w:suppressLineNumbers w:val="0"/>
        <w:spacing w:before="120" w:beforeAutospacing="0" w:after="120" w:afterAutospacing="0" w:line="210" w:lineRule="atLeast"/>
        <w:ind w:right="330"/>
        <w:rPr>
          <w:rFonts w:hint="default" w:ascii="Segoe UI" w:hAnsi="Segoe UI" w:eastAsia="Segoe UI" w:cs="Segoe UI"/>
          <w:b/>
          <w:sz w:val="18"/>
          <w:szCs w:val="18"/>
        </w:rPr>
      </w:pPr>
      <w:r>
        <w:rPr>
          <w:rFonts w:hint="default" w:ascii="Segoe UI" w:hAnsi="Segoe UI" w:eastAsia="Segoe UI" w:cs="Segoe UI"/>
          <w:b/>
          <w:i w:val="0"/>
          <w:caps w:val="0"/>
          <w:color w:val="0F1115"/>
          <w:spacing w:val="0"/>
          <w:sz w:val="18"/>
          <w:szCs w:val="18"/>
          <w:shd w:val="clear" w:fill="FFFFFF"/>
        </w:rPr>
        <w:t>Recomm</w:t>
      </w:r>
      <w:r>
        <w:rPr>
          <w:rFonts w:hint="eastAsia" w:ascii="Segoe UI" w:hAnsi="Segoe UI" w:cs="Segoe UI"/>
          <w:b/>
          <w:i w:val="0"/>
          <w:caps w:val="0"/>
          <w:color w:val="0F1115"/>
          <w:spacing w:val="0"/>
          <w:sz w:val="18"/>
          <w:szCs w:val="18"/>
          <w:shd w:val="clear" w:fill="FFFFFF"/>
          <w:lang w:val="en-US" w:eastAsia="zh-CN"/>
        </w:rPr>
        <w:t>en</w:t>
      </w:r>
      <w:r>
        <w:rPr>
          <w:rFonts w:hint="default" w:ascii="Segoe UI" w:hAnsi="Segoe UI" w:eastAsia="Segoe UI" w:cs="Segoe UI"/>
          <w:b/>
          <w:i w:val="0"/>
          <w:caps w:val="0"/>
          <w:color w:val="0F1115"/>
          <w:spacing w:val="0"/>
          <w:sz w:val="18"/>
          <w:szCs w:val="18"/>
          <w:shd w:val="clear" w:fill="FFFFFF"/>
        </w:rPr>
        <w:t>dation 4: Strengthen Closed-Loop Resilience of the Greater Bay Area Internal Supply Chain</w:t>
      </w:r>
    </w:p>
    <w:p>
      <w:pPr>
        <w:pStyle w:val="7"/>
        <w:keepNext w:val="0"/>
        <w:keepLines w:val="0"/>
        <w:widowControl/>
        <w:suppressLineNumbers w:val="0"/>
        <w:spacing w:before="120" w:beforeAutospacing="0" w:after="120" w:afterAutospacing="0" w:line="210" w:lineRule="atLeast"/>
        <w:ind w:right="330"/>
        <w:rPr>
          <w:sz w:val="40"/>
          <w:szCs w:val="40"/>
        </w:rPr>
      </w:pPr>
      <w:r>
        <w:rPr>
          <w:rFonts w:hint="default" w:ascii="Segoe UI" w:hAnsi="Segoe UI" w:eastAsia="Segoe UI" w:cs="Segoe UI"/>
          <w:i w:val="0"/>
          <w:caps w:val="0"/>
          <w:color w:val="0F1115"/>
          <w:spacing w:val="0"/>
          <w:sz w:val="18"/>
          <w:szCs w:val="18"/>
          <w:shd w:val="clear" w:fill="FFFFFF"/>
        </w:rPr>
        <w:t>Address the "top-heavy" structure (strong design, weak manufacturing).</w:t>
      </w:r>
    </w:p>
    <w:p>
      <w:pPr>
        <w:pStyle w:val="7"/>
        <w:keepNext w:val="0"/>
        <w:keepLines w:val="0"/>
        <w:widowControl/>
        <w:suppressLineNumbers w:val="0"/>
        <w:spacing w:before="0" w:beforeAutospacing="0" w:after="0" w:afterAutospacing="0" w:line="210" w:lineRule="atLeast"/>
        <w:ind w:right="330"/>
        <w:rPr>
          <w:sz w:val="40"/>
          <w:szCs w:val="40"/>
        </w:rPr>
      </w:pPr>
      <w:r>
        <w:rPr>
          <w:rFonts w:hint="default" w:ascii="Segoe UI" w:hAnsi="Segoe UI" w:eastAsia="Segoe UI" w:cs="Segoe UI"/>
          <w:b/>
          <w:i w:val="0"/>
          <w:caps w:val="0"/>
          <w:color w:val="0F1115"/>
          <w:spacing w:val="0"/>
          <w:sz w:val="18"/>
          <w:szCs w:val="18"/>
          <w:shd w:val="clear" w:fill="FFFFFF"/>
        </w:rPr>
        <w:t>Action:</w:t>
      </w:r>
      <w:r>
        <w:rPr>
          <w:rFonts w:hint="default" w:ascii="Segoe UI" w:hAnsi="Segoe UI" w:eastAsia="Segoe UI" w:cs="Segoe UI"/>
          <w:i w:val="0"/>
          <w:caps w:val="0"/>
          <w:color w:val="0F1115"/>
          <w:spacing w:val="0"/>
          <w:sz w:val="18"/>
          <w:szCs w:val="18"/>
          <w:shd w:val="clear" w:fill="FFFFFF"/>
        </w:rPr>
        <w:t> Establish a Greater Bay Area Semiconductor Industry Alliance. Mandate </w:t>
      </w:r>
      <w:r>
        <w:rPr>
          <w:rFonts w:hint="default" w:ascii="Segoe UI" w:hAnsi="Segoe UI" w:eastAsia="Segoe UI" w:cs="Segoe UI"/>
          <w:b/>
          <w:i w:val="0"/>
          <w:caps w:val="0"/>
          <w:color w:val="0F1115"/>
          <w:spacing w:val="0"/>
          <w:sz w:val="18"/>
          <w:szCs w:val="18"/>
          <w:shd w:val="clear" w:fill="FFFFFF"/>
        </w:rPr>
        <w:t>co-development</w:t>
      </w:r>
      <w:r>
        <w:rPr>
          <w:rFonts w:hint="default" w:ascii="Segoe UI" w:hAnsi="Segoe UI" w:eastAsia="Segoe UI" w:cs="Segoe UI"/>
          <w:i w:val="0"/>
          <w:caps w:val="0"/>
          <w:color w:val="0F1115"/>
          <w:spacing w:val="0"/>
          <w:sz w:val="18"/>
          <w:szCs w:val="18"/>
          <w:shd w:val="clear" w:fill="FFFFFF"/>
        </w:rPr>
        <w:t> between design houses and manufacturing fabs with chain leaders like Yuexin. Leverage Hong Kong’s R&amp;D strengths (e.g., ASTRI’s third-gen compound tech) and Macau’s special international linkages to circumvent US long-arm jurisdiction and build diversified technology import channels.</w:t>
      </w:r>
    </w:p>
    <w:p>
      <w:pPr>
        <w:pStyle w:val="7"/>
        <w:keepNext w:val="0"/>
        <w:keepLines w:val="0"/>
        <w:widowControl/>
        <w:suppressLineNumbers w:val="0"/>
        <w:spacing w:before="120" w:beforeAutospacing="0" w:after="120" w:afterAutospacing="0" w:line="210" w:lineRule="atLeast"/>
        <w:ind w:right="330"/>
        <w:rPr>
          <w:sz w:val="40"/>
          <w:szCs w:val="40"/>
        </w:rPr>
      </w:pPr>
      <w:r>
        <w:rPr>
          <w:rFonts w:hint="default" w:ascii="Segoe UI" w:hAnsi="Segoe UI" w:eastAsia="Segoe UI" w:cs="Segoe UI"/>
          <w:b/>
          <w:i w:val="0"/>
          <w:caps w:val="0"/>
          <w:color w:val="0F1115"/>
          <w:spacing w:val="0"/>
          <w:sz w:val="18"/>
          <w:szCs w:val="18"/>
          <w:shd w:val="clear" w:fill="FFFFFF"/>
        </w:rPr>
        <w:t>Summary:</w:t>
      </w:r>
      <w:r>
        <w:rPr>
          <w:rFonts w:hint="default" w:ascii="Segoe UI" w:hAnsi="Segoe UI" w:eastAsia="Segoe UI" w:cs="Segoe UI"/>
          <w:i w:val="0"/>
          <w:caps w:val="0"/>
          <w:color w:val="0F1115"/>
          <w:spacing w:val="0"/>
          <w:sz w:val="18"/>
          <w:szCs w:val="18"/>
          <w:shd w:val="clear" w:fill="FFFFFF"/>
        </w:rPr>
        <w:t> The optimization path for Guangdong’s IC policy should shift from pure </w:t>
      </w:r>
      <w:r>
        <w:rPr>
          <w:rFonts w:hint="default" w:ascii="Segoe UI" w:hAnsi="Segoe UI" w:eastAsia="Segoe UI" w:cs="Segoe UI"/>
          <w:b/>
          <w:i w:val="0"/>
          <w:caps w:val="0"/>
          <w:color w:val="0F1115"/>
          <w:spacing w:val="0"/>
          <w:sz w:val="18"/>
          <w:szCs w:val="18"/>
          <w:shd w:val="clear" w:fill="FFFFFF"/>
        </w:rPr>
        <w:t>industrial support</w:t>
      </w:r>
      <w:r>
        <w:rPr>
          <w:rFonts w:hint="default" w:ascii="Segoe UI" w:hAnsi="Segoe UI" w:eastAsia="Segoe UI" w:cs="Segoe UI"/>
          <w:i w:val="0"/>
          <w:caps w:val="0"/>
          <w:color w:val="0F1115"/>
          <w:spacing w:val="0"/>
          <w:sz w:val="18"/>
          <w:szCs w:val="18"/>
          <w:shd w:val="clear" w:fill="FFFFFF"/>
        </w:rPr>
        <w:t> to </w:t>
      </w:r>
      <w:r>
        <w:rPr>
          <w:rFonts w:hint="default" w:ascii="Segoe UI" w:hAnsi="Segoe UI" w:eastAsia="Segoe UI" w:cs="Segoe UI"/>
          <w:b/>
          <w:i w:val="0"/>
          <w:caps w:val="0"/>
          <w:color w:val="0F1115"/>
          <w:spacing w:val="0"/>
          <w:sz w:val="18"/>
          <w:szCs w:val="18"/>
          <w:shd w:val="clear" w:fill="FFFFFF"/>
        </w:rPr>
        <w:t>security and efficiency in tandem</w:t>
      </w:r>
      <w:r>
        <w:rPr>
          <w:rFonts w:hint="default" w:ascii="Segoe UI" w:hAnsi="Segoe UI" w:eastAsia="Segoe UI" w:cs="Segoe UI"/>
          <w:i w:val="0"/>
          <w:caps w:val="0"/>
          <w:color w:val="0F1115"/>
          <w:spacing w:val="0"/>
          <w:sz w:val="18"/>
          <w:szCs w:val="18"/>
          <w:shd w:val="clear" w:fill="FFFFFF"/>
        </w:rPr>
        <w:t>, and from </w:t>
      </w:r>
      <w:r>
        <w:rPr>
          <w:rFonts w:hint="default" w:ascii="Segoe UI" w:hAnsi="Segoe UI" w:eastAsia="Segoe UI" w:cs="Segoe UI"/>
          <w:b/>
          <w:i w:val="0"/>
          <w:caps w:val="0"/>
          <w:color w:val="0F1115"/>
          <w:spacing w:val="0"/>
          <w:sz w:val="18"/>
          <w:szCs w:val="18"/>
          <w:shd w:val="clear" w:fill="FFFFFF"/>
        </w:rPr>
        <w:t>open cooperation</w:t>
      </w:r>
      <w:r>
        <w:rPr>
          <w:rFonts w:hint="default" w:ascii="Segoe UI" w:hAnsi="Segoe UI" w:eastAsia="Segoe UI" w:cs="Segoe UI"/>
          <w:i w:val="0"/>
          <w:caps w:val="0"/>
          <w:color w:val="0F1115"/>
          <w:spacing w:val="0"/>
          <w:sz w:val="18"/>
          <w:szCs w:val="18"/>
          <w:shd w:val="clear" w:fill="FFFFFF"/>
        </w:rPr>
        <w:t> to </w:t>
      </w:r>
      <w:r>
        <w:rPr>
          <w:rFonts w:hint="default" w:ascii="Segoe UI" w:hAnsi="Segoe UI" w:eastAsia="Segoe UI" w:cs="Segoe UI"/>
          <w:b/>
          <w:i w:val="0"/>
          <w:caps w:val="0"/>
          <w:color w:val="0F1115"/>
          <w:spacing w:val="0"/>
          <w:sz w:val="18"/>
          <w:szCs w:val="18"/>
          <w:shd w:val="clear" w:fill="FFFFFF"/>
        </w:rPr>
        <w:t>precision breakthrough under a bottom-line mindset</w:t>
      </w:r>
      <w:r>
        <w:rPr>
          <w:rFonts w:hint="default" w:ascii="Segoe UI" w:hAnsi="Segoe UI" w:eastAsia="Segoe UI" w:cs="Segoe UI"/>
          <w:i w:val="0"/>
          <w:caps w:val="0"/>
          <w:color w:val="0F1115"/>
          <w:spacing w:val="0"/>
          <w:sz w:val="18"/>
          <w:szCs w:val="18"/>
          <w:shd w:val="clear" w:fill="FFFFFF"/>
        </w:rPr>
        <w:t>.</w:t>
      </w:r>
    </w:p>
    <w:p>
      <w:pPr>
        <w:pStyle w:val="7"/>
        <w:keepNext w:val="0"/>
        <w:keepLines w:val="0"/>
        <w:widowControl/>
        <w:suppressLineNumbers w:val="0"/>
        <w:spacing w:before="0" w:beforeAutospacing="0" w:after="0" w:afterAutospacing="0"/>
        <w:ind w:left="0" w:right="0"/>
        <w:rPr>
          <w:rFonts w:hint="default" w:ascii="Segoe UI" w:hAnsi="Segoe UI" w:eastAsia="Segoe UI" w:cs="Segoe UI"/>
          <w:i w:val="0"/>
          <w:caps w:val="0"/>
          <w:color w:val="0F1115"/>
          <w:spacing w:val="0"/>
          <w:sz w:val="18"/>
          <w:szCs w:val="18"/>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00061C"/>
    <w:rsid w:val="40287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kern w:val="0"/>
      <w:sz w:val="20"/>
      <w:szCs w:val="20"/>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2026-06-02T07:51:45Z</dcterms:created>
  <dc:creator>71041</dc:creator>
  <cp:lastModifiedBy>CC</cp:lastModifiedBy>
  <dcterms:modified xsi:type="dcterms:W3CDTF">2026-06-02T08:01:01Z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