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F8A7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Preferential Policy Mapping (Guangzhou &amp; Shenzhen)</w:t>
      </w:r>
    </w:p>
    <w:p w14:paraId="4CB231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I. SHENZHEN MUNICIPAL POLICIES</w:t>
      </w:r>
      <w:bookmarkStart w:id="0" w:name="_GoBack"/>
      <w:bookmarkEnd w:id="0"/>
    </w:p>
    <w:p w14:paraId="1A6742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 Traditional Industries: Digital Transformation &amp; Upgrading</w:t>
      </w:r>
    </w:p>
    <w:p w14:paraId="025EE2B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Implementation Plan for Urban Pilot of Digital Intelligence Transformation of Industrial Enterprises</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0C84B49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bdr w:val="none" w:color="1F1F1F" w:sz="0" w:space="0"/>
        </w:rPr>
      </w:pPr>
    </w:p>
    <w:p w14:paraId="48C7A9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Key Policy Details:</w:t>
      </w:r>
    </w:p>
    <w:p w14:paraId="3CE4DF2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Financial Subsidies:</w:t>
      </w:r>
      <w:r>
        <w:rPr>
          <w:rFonts w:hint="default" w:ascii="Times New Roman" w:hAnsi="Times New Roman" w:eastAsia="sans-serif" w:cs="Times New Roman"/>
          <w:color w:val="1F1F1F"/>
          <w:bdr w:val="none" w:color="1F1F1F" w:sz="0" w:space="0"/>
        </w:rPr>
        <w:t xml:space="preserve"> Provides direct grants for the digital and intelligent transformation of industrial enterprises above designated size, capping at </w:t>
      </w:r>
      <w:r>
        <w:rPr>
          <w:rFonts w:hint="default" w:ascii="Times New Roman" w:hAnsi="Times New Roman" w:eastAsia="sans-serif" w:cs="Times New Roman"/>
          <w:b/>
          <w:bCs/>
          <w:color w:val="1F1F1F"/>
          <w:bdr w:val="none" w:color="1F1F1F" w:sz="0" w:space="0"/>
        </w:rPr>
        <w:t>50 million RMB</w:t>
      </w:r>
      <w:r>
        <w:rPr>
          <w:rFonts w:hint="default" w:ascii="Times New Roman" w:hAnsi="Times New Roman" w:eastAsia="sans-serif" w:cs="Times New Roman"/>
          <w:color w:val="1F1F1F"/>
          <w:bdr w:val="none" w:color="1F1F1F" w:sz="0" w:space="0"/>
        </w:rPr>
        <w:t xml:space="preserve"> per project.</w:t>
      </w:r>
      <w:r>
        <w:rPr>
          <w:rFonts w:hint="default" w:ascii="Times New Roman" w:hAnsi="Times New Roman" w:eastAsia="sans-serif" w:cs="Times New Roman"/>
          <w:color w:val="1F1F1F"/>
          <w:bdr w:val="none" w:color="auto" w:sz="0" w:space="0"/>
        </w:rPr>
        <w:t xml:space="preserve"> </w:t>
      </w:r>
    </w:p>
    <w:p w14:paraId="1DE4A84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Support Target:</w:t>
      </w:r>
      <w:r>
        <w:rPr>
          <w:rFonts w:hint="default" w:ascii="Times New Roman" w:hAnsi="Times New Roman" w:eastAsia="sans-serif" w:cs="Times New Roman"/>
          <w:color w:val="1F1F1F"/>
          <w:bdr w:val="none" w:color="1F1F1F" w:sz="0" w:space="0"/>
        </w:rPr>
        <w:t xml:space="preserve"> Focuses on full-chain AI integration and "chain-based" digital upgrades for traditional sectors like home appliances, electronics, apparel, and furniture.</w:t>
      </w:r>
      <w:r>
        <w:rPr>
          <w:rFonts w:hint="default" w:ascii="Times New Roman" w:hAnsi="Times New Roman" w:eastAsia="sans-serif" w:cs="Times New Roman"/>
          <w:color w:val="1F1F1F"/>
          <w:bdr w:val="none" w:color="auto" w:sz="0" w:space="0"/>
        </w:rPr>
        <w:t xml:space="preserve"> </w:t>
      </w:r>
    </w:p>
    <w:p w14:paraId="6886E23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Supporting Initiative:</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Action Plan for High-Quality Development of the Fashion Industry</w:t>
      </w:r>
      <w:r>
        <w:rPr>
          <w:rFonts w:hint="default" w:ascii="Times New Roman" w:hAnsi="Times New Roman" w:eastAsia="sans-serif" w:cs="Times New Roman"/>
          <w:color w:val="1F1F1F"/>
          <w:bdr w:val="none" w:color="1F1F1F" w:sz="0" w:space="0"/>
        </w:rPr>
        <w:t>, which offers financial subsidies for independent brand building and participating in major domestic and international exhibitions.</w:t>
      </w:r>
      <w:r>
        <w:rPr>
          <w:rFonts w:hint="default" w:ascii="Times New Roman" w:hAnsi="Times New Roman" w:eastAsia="sans-serif" w:cs="Times New Roman"/>
          <w:color w:val="1F1F1F"/>
          <w:bdr w:val="none" w:color="auto" w:sz="0" w:space="0"/>
        </w:rPr>
        <w:t xml:space="preserve"> </w:t>
      </w:r>
    </w:p>
    <w:p w14:paraId="326050A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rPr>
      </w:pPr>
    </w:p>
    <w:p w14:paraId="155452A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 Emerging Industries: Strategic Pillars &amp; Scale Expansion</w:t>
      </w:r>
    </w:p>
    <w:p w14:paraId="457BF0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"14th Five-Year" Plan for Scientific and Technological Innovation</w:t>
      </w:r>
      <w:r>
        <w:rPr>
          <w:rFonts w:hint="default" w:ascii="Times New Roman" w:hAnsi="Times New Roman" w:eastAsia="sans-serif" w:cs="Times New Roman"/>
          <w:color w:val="1F1F1F"/>
          <w:bdr w:val="none" w:color="1F1F1F" w:sz="0" w:space="0"/>
        </w:rPr>
        <w:t xml:space="preserve"> &amp; </w:t>
      </w:r>
      <w:r>
        <w:rPr>
          <w:rFonts w:hint="default" w:ascii="Times New Roman" w:hAnsi="Times New Roman" w:eastAsia="sans-serif" w:cs="Times New Roman"/>
          <w:i/>
          <w:iCs/>
          <w:color w:val="1F1F1F"/>
          <w:bdr w:val="none" w:color="1F1F1F" w:sz="0" w:space="0"/>
        </w:rPr>
        <w:t>Key Industrial Chain "Chain Chief System" Work Plan</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5EFF220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1C1667F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Key Policy Details:</w:t>
      </w:r>
    </w:p>
    <w:p w14:paraId="6B29B16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R&amp;D Subsidies:</w:t>
      </w:r>
      <w:r>
        <w:rPr>
          <w:rFonts w:hint="default" w:ascii="Times New Roman" w:hAnsi="Times New Roman" w:eastAsia="sans-serif" w:cs="Times New Roman"/>
          <w:color w:val="1F1F1F"/>
          <w:bdr w:val="none" w:color="1F1F1F" w:sz="0" w:space="0"/>
        </w:rPr>
        <w:t xml:space="preserve"> Implements major science and technology specials for critical "bottleneck" sectors like Integrated Circuits (IC) and advanced materials. Utilizing the "Open Competition" (Jie Bang Gua Shuai) model, individual project funding can reach the </w:t>
      </w:r>
      <w:r>
        <w:rPr>
          <w:rFonts w:hint="default" w:ascii="Times New Roman" w:hAnsi="Times New Roman" w:eastAsia="sans-serif" w:cs="Times New Roman"/>
          <w:b/>
          <w:bCs/>
          <w:color w:val="1F1F1F"/>
          <w:bdr w:val="none" w:color="1F1F1F" w:sz="0" w:space="0"/>
        </w:rPr>
        <w:t>100-million RMB level</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220BEE5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Major Project Alignment:</w:t>
      </w:r>
      <w:r>
        <w:rPr>
          <w:rFonts w:hint="default" w:ascii="Times New Roman" w:hAnsi="Times New Roman" w:eastAsia="sans-serif" w:cs="Times New Roman"/>
          <w:color w:val="1F1F1F"/>
          <w:bdr w:val="none" w:color="1F1F1F" w:sz="0" w:space="0"/>
        </w:rPr>
        <w:t xml:space="preserve"> Prioritizes comprehensive land, power, and infrastructure channels for mega-projects, such as the 80-billion RMB SMIC 12-inch chip production line in Shenzhen.</w:t>
      </w:r>
      <w:r>
        <w:rPr>
          <w:rFonts w:hint="default" w:ascii="Times New Roman" w:hAnsi="Times New Roman" w:eastAsia="sans-serif" w:cs="Times New Roman"/>
          <w:color w:val="1F1F1F"/>
          <w:bdr w:val="none" w:color="auto" w:sz="0" w:space="0"/>
        </w:rPr>
        <w:t xml:space="preserve"> </w:t>
      </w:r>
    </w:p>
    <w:p w14:paraId="04842B6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Targeted Sector Support: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Certain Measures of Shenzhen to Support the High-Quality Development of the Low-Altitude Economy</w:t>
      </w:r>
      <w:r>
        <w:rPr>
          <w:rFonts w:hint="default" w:ascii="Times New Roman" w:hAnsi="Times New Roman" w:eastAsia="sans-serif" w:cs="Times New Roman"/>
          <w:color w:val="1F1F1F"/>
          <w:bdr w:val="none" w:color="1F1F1F" w:sz="0" w:space="0"/>
        </w:rPr>
        <w:t xml:space="preserve">, offering settlement rewards for new enterprises and operational subsidies up to </w:t>
      </w:r>
      <w:r>
        <w:rPr>
          <w:rFonts w:hint="default" w:ascii="Times New Roman" w:hAnsi="Times New Roman" w:eastAsia="sans-serif" w:cs="Times New Roman"/>
          <w:b/>
          <w:bCs/>
          <w:color w:val="1F1F1F"/>
          <w:bdr w:val="none" w:color="1F1F1F" w:sz="0" w:space="0"/>
        </w:rPr>
        <w:t>20 million RMB</w:t>
      </w:r>
      <w:r>
        <w:rPr>
          <w:rFonts w:hint="default" w:ascii="Times New Roman" w:hAnsi="Times New Roman" w:eastAsia="sans-serif" w:cs="Times New Roman"/>
          <w:color w:val="1F1F1F"/>
          <w:bdr w:val="none" w:color="1F1F1F" w:sz="0" w:space="0"/>
        </w:rPr>
        <w:t xml:space="preserve"> for commercial low-altitude logistics and flight routes.</w:t>
      </w:r>
      <w:r>
        <w:rPr>
          <w:rFonts w:hint="default" w:ascii="Times New Roman" w:hAnsi="Times New Roman" w:eastAsia="sans-serif" w:cs="Times New Roman"/>
          <w:color w:val="1F1F1F"/>
          <w:bdr w:val="none" w:color="auto" w:sz="0" w:space="0"/>
        </w:rPr>
        <w:t xml:space="preserve"> </w:t>
      </w:r>
    </w:p>
    <w:p w14:paraId="5082F0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3. Future Industries: Forward-Looking Tracks &amp; Patient Capital</w:t>
      </w:r>
    </w:p>
    <w:p w14:paraId="0E8B9E8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Special Planning for Future Industry Agglomeration Zones</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2C88D48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Key Policy Details:</w:t>
      </w:r>
    </w:p>
    <w:p w14:paraId="2CCB422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Spatial &amp; Sandbox Guarantees:</w:t>
      </w:r>
      <w:r>
        <w:rPr>
          <w:rFonts w:hint="default" w:ascii="Times New Roman" w:hAnsi="Times New Roman" w:eastAsia="sans-serif" w:cs="Times New Roman"/>
          <w:color w:val="1F1F1F"/>
          <w:bdr w:val="none" w:color="1F1F1F" w:sz="0" w:space="0"/>
        </w:rPr>
        <w:t xml:space="preserve"> Secures dedicated application testing scenarios and professional incubation spaces in Hetao and Shenzhen Guangming Science City, focusing heavily on Cell &amp; Gene Therapy innovation clusters and Embodied AI robotics.</w:t>
      </w:r>
      <w:r>
        <w:rPr>
          <w:rFonts w:hint="default" w:ascii="Times New Roman" w:hAnsi="Times New Roman" w:eastAsia="sans-serif" w:cs="Times New Roman"/>
          <w:color w:val="1F1F1F"/>
          <w:bdr w:val="none" w:color="auto" w:sz="0" w:space="0"/>
        </w:rPr>
        <w:t xml:space="preserve"> </w:t>
      </w:r>
    </w:p>
    <w:p w14:paraId="49C3AF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"20+8" Industrial Fund System Operational Guidelines</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4EDC3BB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Key Policy Details:</w:t>
      </w:r>
    </w:p>
    <w:p w14:paraId="37EC5D9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Financing Concessions:</w:t>
      </w:r>
      <w:r>
        <w:rPr>
          <w:rFonts w:hint="default" w:ascii="Times New Roman" w:hAnsi="Times New Roman" w:eastAsia="sans-serif" w:cs="Times New Roman"/>
          <w:color w:val="1F1F1F"/>
          <w:bdr w:val="none" w:color="1F1F1F" w:sz="0" w:space="0"/>
        </w:rPr>
        <w:t xml:space="preserve"> Directs municipal guidance funds to act as "Patient Capital". In coordination with platforms like the Peng Cheng Laboratory, it provides early-stage venture backing and seed financing to address the long R&amp;D cycles of future industries.</w:t>
      </w:r>
      <w:r>
        <w:rPr>
          <w:rFonts w:hint="default" w:ascii="Times New Roman" w:hAnsi="Times New Roman" w:eastAsia="sans-serif" w:cs="Times New Roman"/>
          <w:color w:val="1F1F1F"/>
          <w:bdr w:val="none" w:color="auto" w:sz="0" w:space="0"/>
        </w:rPr>
        <w:t xml:space="preserve"> </w:t>
      </w:r>
    </w:p>
    <w:p w14:paraId="2FEBCFF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4. Human Resources &amp; Talent Matching (Task 2.2.2 Alignment)</w:t>
      </w:r>
    </w:p>
    <w:p w14:paraId="4EAA7E4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High-Level R&amp;D Talent: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"Peng Cheng Talent Plan"</w:t>
      </w:r>
      <w:r>
        <w:rPr>
          <w:rFonts w:hint="default" w:ascii="Times New Roman" w:hAnsi="Times New Roman" w:eastAsia="sans-serif" w:cs="Times New Roman"/>
          <w:color w:val="1F1F1F"/>
          <w:bdr w:val="none" w:color="1F1F1F" w:sz="0" w:space="0"/>
        </w:rPr>
        <w:t xml:space="preserve"> grants high-level talent rewards up to the </w:t>
      </w:r>
      <w:r>
        <w:rPr>
          <w:rFonts w:hint="default" w:ascii="Times New Roman" w:hAnsi="Times New Roman" w:eastAsia="sans-serif" w:cs="Times New Roman"/>
          <w:b/>
          <w:bCs/>
          <w:color w:val="1F1F1F"/>
          <w:bdr w:val="none" w:color="1F1F1F" w:sz="0" w:space="0"/>
        </w:rPr>
        <w:t>million-RMB level</w:t>
      </w:r>
      <w:r>
        <w:rPr>
          <w:rFonts w:hint="default" w:ascii="Times New Roman" w:hAnsi="Times New Roman" w:eastAsia="sans-serif" w:cs="Times New Roman"/>
          <w:color w:val="1F1F1F"/>
          <w:bdr w:val="none" w:color="1F1F1F" w:sz="0" w:space="0"/>
        </w:rPr>
        <w:t xml:space="preserve"> and research funding for top-tier IC design engineers and Embodied AI algorithm experts.</w:t>
      </w:r>
      <w:r>
        <w:rPr>
          <w:rFonts w:hint="default" w:ascii="Times New Roman" w:hAnsi="Times New Roman" w:eastAsia="sans-serif" w:cs="Times New Roman"/>
          <w:color w:val="1F1F1F"/>
          <w:bdr w:val="none" w:color="auto" w:sz="0" w:space="0"/>
        </w:rPr>
        <w:t xml:space="preserve"> </w:t>
      </w:r>
    </w:p>
    <w:p w14:paraId="2E09E6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Industrial Upskilling:</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Shenzhen Occupational Skill Training Subsidy</w:t>
      </w:r>
      <w:r>
        <w:rPr>
          <w:rFonts w:hint="default" w:ascii="Times New Roman" w:hAnsi="Times New Roman" w:eastAsia="sans-serif" w:cs="Times New Roman"/>
          <w:color w:val="1F1F1F"/>
          <w:bdr w:val="none" w:color="1F1F1F" w:sz="0" w:space="0"/>
        </w:rPr>
        <w:t xml:space="preserve"> provides direct corporate subsidies for advanced technical retraining, turning traditional factory labor into digital operators to support the "AI+Manufacturing" transition.</w:t>
      </w:r>
      <w:r>
        <w:rPr>
          <w:rFonts w:hint="default" w:ascii="Times New Roman" w:hAnsi="Times New Roman" w:eastAsia="sans-serif" w:cs="Times New Roman"/>
          <w:color w:val="1F1F1F"/>
          <w:bdr w:val="none" w:color="auto" w:sz="0" w:space="0"/>
        </w:rPr>
        <w:t xml:space="preserve"> </w:t>
      </w:r>
    </w:p>
    <w:p w14:paraId="66C3F9C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64DD78C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II. GUANGZHOU MUNICIPAL POLICIES</w:t>
      </w:r>
    </w:p>
    <w:p w14:paraId="72B7171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bdr w:val="none" w:color="1F1F1F" w:sz="0" w:space="0"/>
        </w:rPr>
      </w:pPr>
      <w:r>
        <w:rPr>
          <w:rFonts w:hint="default" w:ascii="Times New Roman" w:hAnsi="Times New Roman" w:eastAsia="sans-serif" w:cs="Times New Roman"/>
          <w:color w:val="1F1F1F"/>
          <w:bdr w:val="none" w:color="1F1F1F" w:sz="0" w:space="0"/>
        </w:rPr>
        <w:t>1. Traditional Industries: Hardware Upgrades &amp; AI+ Infusion</w:t>
      </w:r>
    </w:p>
    <w:p w14:paraId="1BACBEB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Directives on Supporting the High-End, Intelligent, and Green Transformation of the Manufacturing Industry</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581697A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Key Policy Details:</w:t>
      </w:r>
    </w:p>
    <w:p w14:paraId="2208B0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Technical Transformation Subsidies:</w:t>
      </w:r>
      <w:r>
        <w:rPr>
          <w:rFonts w:hint="default" w:ascii="Times New Roman" w:hAnsi="Times New Roman" w:eastAsia="sans-serif" w:cs="Times New Roman"/>
          <w:color w:val="1F1F1F"/>
          <w:bdr w:val="none" w:color="1F1F1F" w:sz="0" w:space="0"/>
        </w:rPr>
        <w:t xml:space="preserve"> Offers up to </w:t>
      </w:r>
      <w:r>
        <w:rPr>
          <w:rFonts w:hint="default" w:ascii="Times New Roman" w:hAnsi="Times New Roman" w:eastAsia="sans-serif" w:cs="Times New Roman"/>
          <w:b/>
          <w:bCs/>
          <w:color w:val="1F1F1F"/>
          <w:bdr w:val="none" w:color="1F1F1F" w:sz="0" w:space="0"/>
        </w:rPr>
        <w:t>20 million RMB</w:t>
      </w:r>
      <w:r>
        <w:rPr>
          <w:rFonts w:hint="default" w:ascii="Times New Roman" w:hAnsi="Times New Roman" w:eastAsia="sans-serif" w:cs="Times New Roman"/>
          <w:color w:val="1F1F1F"/>
          <w:bdr w:val="none" w:color="1F1F1F" w:sz="0" w:space="0"/>
        </w:rPr>
        <w:t xml:space="preserve"> in equipment subsidies for enterprises executing intelligent "device replacements" and technical retrofitting.</w:t>
      </w:r>
      <w:r>
        <w:rPr>
          <w:rFonts w:hint="default" w:ascii="Times New Roman" w:hAnsi="Times New Roman" w:eastAsia="sans-serif" w:cs="Times New Roman"/>
          <w:color w:val="1F1F1F"/>
          <w:bdr w:val="none" w:color="auto" w:sz="0" w:space="0"/>
        </w:rPr>
        <w:t xml:space="preserve"> </w:t>
      </w:r>
    </w:p>
    <w:p w14:paraId="0263A8A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AI+ Manufacturing Action:</w:t>
      </w:r>
      <w:r>
        <w:rPr>
          <w:rFonts w:hint="default" w:ascii="Times New Roman" w:hAnsi="Times New Roman" w:eastAsia="sans-serif" w:cs="Times New Roman"/>
          <w:color w:val="1F1F1F"/>
          <w:bdr w:val="none" w:color="1F1F1F" w:sz="0" w:space="0"/>
        </w:rPr>
        <w:t xml:space="preserve"> Finances industrial clusters to implement deep AI integration across supply chains, explicitly aiming to bridge the "last mile" from lab development to factory-floor operation.</w:t>
      </w:r>
      <w:r>
        <w:rPr>
          <w:rFonts w:hint="default" w:ascii="Times New Roman" w:hAnsi="Times New Roman" w:eastAsia="sans-serif" w:cs="Times New Roman"/>
          <w:color w:val="1F1F1F"/>
          <w:bdr w:val="none" w:color="auto" w:sz="0" w:space="0"/>
        </w:rPr>
        <w:t xml:space="preserve"> </w:t>
      </w:r>
    </w:p>
    <w:p w14:paraId="0494AED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3FC2751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 Emerging Industries: Manufacturing Base "Third Pole" Construction</w:t>
      </w:r>
    </w:p>
    <w:p w14:paraId="73FF3FC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Municipal Measures to Accelerate the High-Quality Development of the Integrated Circuit Industry</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56E7365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bdr w:val="none" w:color="1F1F1F" w:sz="0" w:space="0"/>
        </w:rPr>
      </w:pPr>
    </w:p>
    <w:p w14:paraId="576946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bdr w:val="none" w:color="1F1F1F" w:sz="0" w:space="0"/>
        </w:rPr>
      </w:pPr>
      <w:r>
        <w:rPr>
          <w:rFonts w:hint="default" w:ascii="Times New Roman" w:hAnsi="Times New Roman" w:eastAsia="sans-serif" w:cs="Times New Roman"/>
          <w:b/>
          <w:bCs/>
          <w:color w:val="1F1F1F"/>
          <w:bdr w:val="none" w:color="1F1F1F" w:sz="0" w:space="0"/>
        </w:rPr>
        <w:t>Key Policy Details:</w:t>
      </w:r>
    </w:p>
    <w:p w14:paraId="6A54A9F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Infrastructure &amp; Investment Matching:</w:t>
      </w:r>
      <w:r>
        <w:rPr>
          <w:rFonts w:hint="default" w:ascii="Times New Roman" w:hAnsi="Times New Roman" w:eastAsia="sans-serif" w:cs="Times New Roman"/>
          <w:color w:val="1F1F1F"/>
          <w:bdr w:val="none" w:color="1F1F1F" w:sz="0" w:space="0"/>
        </w:rPr>
        <w:t xml:space="preserve"> Provides dedicated multi-billion RMB municipal special funds to build out the "One Core, Two Poles" manufacturing layout (Huangpu, Nansha, Zengcheng).</w:t>
      </w:r>
      <w:r>
        <w:rPr>
          <w:rFonts w:hint="default" w:ascii="Times New Roman" w:hAnsi="Times New Roman" w:eastAsia="sans-serif" w:cs="Times New Roman"/>
          <w:color w:val="1F1F1F"/>
          <w:bdr w:val="none" w:color="auto" w:sz="0" w:space="0"/>
        </w:rPr>
        <w:t xml:space="preserve"> </w:t>
      </w:r>
    </w:p>
    <w:p w14:paraId="16F4068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Project Specifics:</w:t>
      </w:r>
      <w:r>
        <w:rPr>
          <w:rFonts w:hint="default" w:ascii="Times New Roman" w:hAnsi="Times New Roman" w:eastAsia="sans-serif" w:cs="Times New Roman"/>
          <w:color w:val="1F1F1F"/>
          <w:bdr w:val="none" w:color="1F1F1F" w:sz="0" w:space="0"/>
        </w:rPr>
        <w:t xml:space="preserve"> Directly finances massive capacity expansions, including the 36-billion RMB Yuexin Semiconductor Phase III project and the Zengcheng Intelligent Sensor Park.</w:t>
      </w:r>
      <w:r>
        <w:rPr>
          <w:rFonts w:hint="default" w:ascii="Times New Roman" w:hAnsi="Times New Roman" w:eastAsia="sans-serif" w:cs="Times New Roman"/>
          <w:color w:val="1F1F1F"/>
          <w:bdr w:val="none" w:color="auto" w:sz="0" w:space="0"/>
        </w:rPr>
        <w:t xml:space="preserve"> </w:t>
      </w:r>
    </w:p>
    <w:p w14:paraId="71E4F36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Bio-Manufacturing &amp; Medical Devices:</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Innovation Action Plan for Biomedical and Medical Device Industry Parks</w:t>
      </w:r>
      <w:r>
        <w:rPr>
          <w:rFonts w:hint="default" w:ascii="Times New Roman" w:hAnsi="Times New Roman" w:eastAsia="sans-serif" w:cs="Times New Roman"/>
          <w:color w:val="1F1F1F"/>
          <w:bdr w:val="none" w:color="1F1F1F" w:sz="0" w:space="0"/>
        </w:rPr>
        <w:t xml:space="preserve"> facilitates fast-track regulatory clearances and grants up to </w:t>
      </w:r>
      <w:r>
        <w:rPr>
          <w:rFonts w:hint="default" w:ascii="Times New Roman" w:hAnsi="Times New Roman" w:eastAsia="sans-serif" w:cs="Times New Roman"/>
          <w:b/>
          <w:bCs/>
          <w:color w:val="1F1F1F"/>
          <w:bdr w:val="none" w:color="1F1F1F" w:sz="0" w:space="0"/>
        </w:rPr>
        <w:t>30 million RMB</w:t>
      </w:r>
      <w:r>
        <w:rPr>
          <w:rFonts w:hint="default" w:ascii="Times New Roman" w:hAnsi="Times New Roman" w:eastAsia="sans-serif" w:cs="Times New Roman"/>
          <w:color w:val="1F1F1F"/>
          <w:bdr w:val="none" w:color="1F1F1F" w:sz="0" w:space="0"/>
        </w:rPr>
        <w:t xml:space="preserve"> for localized clinical trial achievements.</w:t>
      </w:r>
      <w:r>
        <w:rPr>
          <w:rFonts w:hint="default" w:ascii="Times New Roman" w:hAnsi="Times New Roman" w:eastAsia="sans-serif" w:cs="Times New Roman"/>
          <w:color w:val="1F1F1F"/>
          <w:bdr w:val="none" w:color="auto" w:sz="0" w:space="0"/>
        </w:rPr>
        <w:t xml:space="preserve"> </w:t>
      </w:r>
    </w:p>
    <w:p w14:paraId="58416F3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rPr>
      </w:pPr>
    </w:p>
    <w:p w14:paraId="0BC48DD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3. Future Industries: Bio-Fusion &amp; Frontier Research</w:t>
      </w:r>
    </w:p>
    <w:p w14:paraId="0847B19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Core Policy Document: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Municipal Strategic Outline for Future Track Cultivation</w:t>
      </w:r>
      <w:r>
        <w:rPr>
          <w:rFonts w:hint="default" w:ascii="Times New Roman" w:hAnsi="Times New Roman" w:eastAsia="sans-serif" w:cs="Times New Roman"/>
          <w:color w:val="1F1F1F"/>
          <w:bdr w:val="none" w:color="1F1F1F" w:sz="0" w:space="0"/>
        </w:rPr>
        <w:t>.</w:t>
      </w:r>
      <w:r>
        <w:rPr>
          <w:rFonts w:hint="default" w:ascii="Times New Roman" w:hAnsi="Times New Roman" w:eastAsia="sans-serif" w:cs="Times New Roman"/>
          <w:color w:val="1F1F1F"/>
          <w:bdr w:val="none" w:color="auto" w:sz="0" w:space="0"/>
        </w:rPr>
        <w:t xml:space="preserve"> </w:t>
      </w:r>
    </w:p>
    <w:p w14:paraId="2315C3C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rPr>
      </w:pPr>
    </w:p>
    <w:p w14:paraId="7271F83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bdr w:val="none" w:color="1F1F1F" w:sz="0" w:space="0"/>
        </w:rPr>
      </w:pPr>
      <w:r>
        <w:rPr>
          <w:rFonts w:hint="default" w:ascii="Times New Roman" w:hAnsi="Times New Roman" w:eastAsia="sans-serif" w:cs="Times New Roman"/>
          <w:b/>
          <w:bCs/>
          <w:color w:val="1F1F1F"/>
          <w:bdr w:val="none" w:color="1F1F1F" w:sz="0" w:space="0"/>
        </w:rPr>
        <w:t>Key Policy Details:</w:t>
      </w:r>
    </w:p>
    <w:p w14:paraId="61493D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Incubation Clusters:</w:t>
      </w:r>
      <w:r>
        <w:rPr>
          <w:rFonts w:hint="default" w:ascii="Times New Roman" w:hAnsi="Times New Roman" w:eastAsia="sans-serif" w:cs="Times New Roman"/>
          <w:color w:val="1F1F1F"/>
          <w:bdr w:val="none" w:color="1F1F1F" w:sz="0" w:space="0"/>
        </w:rPr>
        <w:t xml:space="preserve"> Coordinates massive municipal funding (such as the 42-billion RMB deployment shared with Shenzhen) to establish localized future innovation hubs, notably the Guangzhou Bio-island for Cell and Gene Therapy.</w:t>
      </w:r>
      <w:r>
        <w:rPr>
          <w:rFonts w:hint="default" w:ascii="Times New Roman" w:hAnsi="Times New Roman" w:eastAsia="sans-serif" w:cs="Times New Roman"/>
          <w:color w:val="1F1F1F"/>
          <w:bdr w:val="none" w:color="auto" w:sz="0" w:space="0"/>
        </w:rPr>
        <w:t xml:space="preserve"> </w:t>
      </w:r>
    </w:p>
    <w:p w14:paraId="73707A6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Scientific Commercialization:</w:t>
      </w:r>
      <w:r>
        <w:rPr>
          <w:rFonts w:hint="default" w:ascii="Times New Roman" w:hAnsi="Times New Roman" w:eastAsia="sans-serif" w:cs="Times New Roman"/>
          <w:color w:val="1F1F1F"/>
          <w:bdr w:val="none" w:color="1F1F1F" w:sz="0" w:space="0"/>
        </w:rPr>
        <w:t xml:space="preserve"> Leverages the Guangzhou Laboratory platform to provide dedicated research funding for pioneering projects in brain science, brain-computer interfaces (BCI), and deep-sea exploration.</w:t>
      </w:r>
      <w:r>
        <w:rPr>
          <w:rFonts w:hint="default" w:ascii="Times New Roman" w:hAnsi="Times New Roman" w:eastAsia="sans-serif" w:cs="Times New Roman"/>
          <w:color w:val="1F1F1F"/>
          <w:bdr w:val="none" w:color="auto" w:sz="0" w:space="0"/>
        </w:rPr>
        <w:t xml:space="preserve"> </w:t>
      </w:r>
    </w:p>
    <w:p w14:paraId="24F1D0A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bdr w:val="none" w:color="1F1F1F" w:sz="0" w:space="0"/>
        </w:rPr>
      </w:pPr>
    </w:p>
    <w:p w14:paraId="2475C28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4. Human Resources &amp; Talent Matching (Task 2.2.2 Alignment)</w:t>
      </w:r>
    </w:p>
    <w:p w14:paraId="0919366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High-Level R&amp;D Talent:</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"Kapok Talent Scheme"</w:t>
      </w:r>
      <w:r>
        <w:rPr>
          <w:rFonts w:hint="default" w:ascii="Times New Roman" w:hAnsi="Times New Roman" w:eastAsia="sans-serif" w:cs="Times New Roman"/>
          <w:color w:val="1F1F1F"/>
          <w:bdr w:val="none" w:color="1F1F1F" w:sz="0" w:space="0"/>
        </w:rPr>
        <w:t xml:space="preserve"> provides comprehensive settlement housing subsidies, child education allowances, and research start-up grants ranging from </w:t>
      </w:r>
      <w:r>
        <w:rPr>
          <w:rFonts w:hint="default" w:ascii="Times New Roman" w:hAnsi="Times New Roman" w:eastAsia="sans-serif" w:cs="Times New Roman"/>
          <w:b/>
          <w:bCs/>
          <w:color w:val="1F1F1F"/>
          <w:bdr w:val="none" w:color="1F1F1F" w:sz="0" w:space="0"/>
        </w:rPr>
        <w:t>1 million to 5 million RMB</w:t>
      </w:r>
      <w:r>
        <w:rPr>
          <w:rFonts w:hint="default" w:ascii="Times New Roman" w:hAnsi="Times New Roman" w:eastAsia="sans-serif" w:cs="Times New Roman"/>
          <w:color w:val="1F1F1F"/>
          <w:bdr w:val="none" w:color="1F1F1F" w:sz="0" w:space="0"/>
        </w:rPr>
        <w:t xml:space="preserve"> for elite core engineers in advanced wafer fabs and bio-manufacturing labs.</w:t>
      </w:r>
      <w:r>
        <w:rPr>
          <w:rFonts w:hint="default" w:ascii="Times New Roman" w:hAnsi="Times New Roman" w:eastAsia="sans-serif" w:cs="Times New Roman"/>
          <w:color w:val="1F1F1F"/>
          <w:bdr w:val="none" w:color="auto" w:sz="0" w:space="0"/>
        </w:rPr>
        <w:t xml:space="preserve"> </w:t>
      </w:r>
    </w:p>
    <w:p w14:paraId="65C3530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cs="Times New Roman"/>
        </w:rPr>
      </w:pPr>
      <w:r>
        <w:rPr>
          <w:rFonts w:hint="default" w:ascii="Times New Roman" w:hAnsi="Times New Roman" w:eastAsia="sans-serif" w:cs="Times New Roman"/>
          <w:b/>
          <w:bCs/>
          <w:color w:val="1F1F1F"/>
          <w:bdr w:val="none" w:color="1F1F1F" w:sz="0" w:space="0"/>
        </w:rPr>
        <w:t>School-Enterprise Cooperation:</w:t>
      </w:r>
      <w:r>
        <w:rPr>
          <w:rFonts w:hint="default" w:ascii="Times New Roman" w:hAnsi="Times New Roman" w:eastAsia="sans-serif" w:cs="Times New Roman"/>
          <w:color w:val="1F1F1F"/>
          <w:bdr w:val="none" w:color="1F1F1F" w:sz="0" w:space="0"/>
        </w:rPr>
        <w:t xml:space="preserve"> </w:t>
      </w:r>
      <w:r>
        <w:rPr>
          <w:rFonts w:hint="default" w:ascii="Times New Roman" w:hAnsi="Times New Roman" w:eastAsia="sans-serif" w:cs="Times New Roman"/>
          <w:i/>
          <w:iCs/>
          <w:color w:val="1F1F1F"/>
          <w:bdr w:val="none" w:color="1F1F1F" w:sz="0" w:space="0"/>
        </w:rPr>
        <w:t>Guangzhou Action Plan for Joint Graduate and Research Institutes Construction</w:t>
      </w:r>
      <w:r>
        <w:rPr>
          <w:rFonts w:hint="default" w:ascii="Times New Roman" w:hAnsi="Times New Roman" w:eastAsia="sans-serif" w:cs="Times New Roman"/>
          <w:color w:val="1F1F1F"/>
          <w:bdr w:val="none" w:color="1F1F1F" w:sz="0" w:space="0"/>
        </w:rPr>
        <w:t xml:space="preserve"> co-finances local manufacturing enterprises to build joint training bases with premier universities (e.g., Xidian University), creating a reliable pipeline of domestic process and equipment engineers directly matching local 12-inch wafer production lines.</w:t>
      </w:r>
      <w:r>
        <w:rPr>
          <w:rFonts w:hint="default" w:ascii="Times New Roman" w:hAnsi="Times New Roman" w:eastAsia="sans-serif" w:cs="Times New Roman"/>
          <w:color w:val="1F1F1F"/>
          <w:bdr w:val="none" w:color="auto" w:sz="0" w:space="0"/>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98350E"/>
    <w:rsid w:val="432D59D3"/>
    <w:rsid w:val="6D98350E"/>
    <w:rsid w:val="715E2C8E"/>
    <w:rsid w:val="7C884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2026-06-01T11:51:00Z</dcterms:created>
  <dc:creator>啾咪</dc:creator>
  <cp:lastModifiedBy>啾咪</cp:lastModifiedBy>
  <dcterms:modified xsi:type="dcterms:W3CDTF">2026-06-01T12:01:14Z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1719B6526C7D4306A90ED2E07A01721C_11</vt:lpwstr>
  </property>
  <property fmtid="{D5CDD505-2E9C-101B-9397-08002B2CF9AE}" pid="4" name="KSOTemplateDocerSaveRecord">
    <vt:lpwstr>eyJoZGlkIjoiZjhmY2EyNWM1ZDAyZmRjMTc0ZTliNjE0ZDI0YmE3MDMiLCJ1c2VySWQiOiI4NDUzMTI4NzgifQ==</vt:lpwstr>
  </property>
</Properties>
</file>