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3"/>
        <w:gridCol w:w="5122"/>
        <w:gridCol w:w="4830"/>
      </w:tblGrid>
      <w:tr>
        <w:trPr/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inserisce le informazioni generali sull’evento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la informazioni generali dell’evento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Prosegue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Ritorno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  <w:bookmarkStart w:id="11" w:name="_c0uwha9afulj"/>
            <w:bookmarkStart w:id="12" w:name="_c0uwha9afulj"/>
            <w:bookmarkEnd w:id="12"/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Procede al passo 2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oppure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scheda)</w:t>
      </w:r>
    </w:p>
    <w:p>
      <w:pPr>
        <w:pStyle w:val="Normal"/>
        <w:rPr/>
      </w:pPr>
      <w:r>
        <w:rPr/>
        <w:t>(al posto di termina il caso d’uso potremmo mettere un ciclo per dare più flessiblità)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note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le note sulla scheda riepilogativa.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non è disponibile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Rimuove l’assegnazione e registra la modifica sul tabellone dei turni.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la proposta di modifica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3"/>
        <w:gridCol w:w="4612"/>
        <w:gridCol w:w="4830"/>
      </w:tblGrid>
      <w:tr>
        <w:trPr/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LibreOffice/7.3.7.2$Linux_X86_64 LibreOffice_project/30$Build-2</Application>
  <AppVersion>15.0000</AppVersion>
  <Pages>6</Pages>
  <Words>680</Words>
  <Characters>3699</Characters>
  <CharactersWithSpaces>4217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2023-05-22T14:59:41Z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