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9255027770996" w:lineRule="auto"/>
        <w:ind w:left="0" w:right="0" w:firstLine="0"/>
        <w:jc w:val="left"/>
        <w:rPr>
          <w:rFonts w:ascii="Verdana" w:cs="Verdana" w:eastAsia="Verdana" w:hAnsi="Verdana"/>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55.91999816894531"/>
          <w:szCs w:val="55.91999816894531"/>
          <w:u w:val="none"/>
          <w:shd w:fill="auto" w:val="clear"/>
          <w:vertAlign w:val="baseline"/>
          <w:rtl w:val="0"/>
        </w:rPr>
        <w:t xml:space="preserve">Environmental benchmarks for  buildings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78076171875" w:line="199.92000102996826" w:lineRule="auto"/>
        <w:ind w:left="0" w:right="0" w:firstLine="0"/>
        <w:jc w:val="left"/>
        <w:rPr>
          <w:rFonts w:ascii="Verdana" w:cs="Verdana" w:eastAsia="Verdana" w:hAnsi="Verdana"/>
          <w:b w:val="0"/>
          <w:bCs w:val="0"/>
          <w:i w:val="1"/>
          <w:iCs w:val="1"/>
          <w:smallCaps w:val="0"/>
          <w:strike w:val="0"/>
          <w:color w:val="646464"/>
          <w:sz w:val="31.920000076293945"/>
          <w:szCs w:val="31.920000076293945"/>
          <w:u w:val="none"/>
          <w:shd w:fill="auto" w:val="clear"/>
          <w:vertAlign w:val="baseline"/>
        </w:rPr>
      </w:pPr>
      <w:r w:rsidDel="00000000" w:rsidR="00000000" w:rsidRPr="00000000">
        <w:rPr>
          <w:rFonts w:ascii="Verdana" w:cs="Verdana" w:eastAsia="Verdana" w:hAnsi="Verdana"/>
          <w:b w:val="1"/>
          <w:bCs w:val="1"/>
          <w:i w:val="1"/>
          <w:iCs w:val="1"/>
          <w:smallCaps w:val="0"/>
          <w:strike w:val="0"/>
          <w:color w:val="646464"/>
          <w:sz w:val="31.920000076293945"/>
          <w:szCs w:val="31.920000076293945"/>
          <w:u w:val="none"/>
          <w:shd w:fill="auto" w:val="clear"/>
          <w:vertAlign w:val="baseline"/>
          <w:rtl w:val="0"/>
        </w:rPr>
        <w:t xml:space="preserve">EFIResources</w:t>
      </w:r>
      <w:r w:rsidDel="00000000" w:rsidR="00000000" w:rsidRPr="00000000">
        <w:rPr>
          <w:rFonts w:ascii="Verdana" w:cs="Verdana" w:eastAsia="Verdana" w:hAnsi="Verdana"/>
          <w:b w:val="0"/>
          <w:bCs w:val="0"/>
          <w:i w:val="1"/>
          <w:iCs w:val="1"/>
          <w:smallCaps w:val="0"/>
          <w:strike w:val="0"/>
          <w:color w:val="646464"/>
          <w:sz w:val="31.920000076293945"/>
          <w:szCs w:val="31.92000007629394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1650390625" w:line="199.92000102996826" w:lineRule="auto"/>
        <w:ind w:left="0" w:right="0" w:firstLine="0"/>
        <w:jc w:val="left"/>
        <w:rPr>
          <w:rFonts w:ascii="Verdana" w:cs="Verdana" w:eastAsia="Verdana" w:hAnsi="Verdana"/>
          <w:b w:val="0"/>
          <w:bCs w:val="0"/>
          <w:i w:val="1"/>
          <w:iCs w:val="1"/>
          <w:smallCaps w:val="0"/>
          <w:strike w:val="0"/>
          <w:color w:val="646464"/>
          <w:sz w:val="31.920000076293945"/>
          <w:szCs w:val="31.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646464"/>
          <w:sz w:val="31.920000076293945"/>
          <w:szCs w:val="31.920000076293945"/>
          <w:u w:val="none"/>
          <w:shd w:fill="auto" w:val="clear"/>
          <w:vertAlign w:val="baseline"/>
          <w:rtl w:val="0"/>
        </w:rPr>
        <w:t xml:space="preserve">Resource Efficient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40673828125" w:line="199.92000102996826" w:lineRule="auto"/>
        <w:ind w:left="0" w:right="0" w:firstLine="0"/>
        <w:jc w:val="left"/>
        <w:rPr>
          <w:rFonts w:ascii="Verdana" w:cs="Verdana" w:eastAsia="Verdana" w:hAnsi="Verdana"/>
          <w:b w:val="0"/>
          <w:bCs w:val="0"/>
          <w:i w:val="1"/>
          <w:iCs w:val="1"/>
          <w:smallCaps w:val="0"/>
          <w:strike w:val="0"/>
          <w:color w:val="646464"/>
          <w:sz w:val="31.920000076293945"/>
          <w:szCs w:val="31.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646464"/>
          <w:sz w:val="31.920000076293945"/>
          <w:szCs w:val="31.920000076293945"/>
          <w:u w:val="none"/>
          <w:shd w:fill="auto" w:val="clear"/>
          <w:vertAlign w:val="baseline"/>
          <w:rtl w:val="0"/>
        </w:rPr>
        <w:t xml:space="preserve">Construction towards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384765625" w:line="199.92000102996826" w:lineRule="auto"/>
        <w:ind w:left="0" w:right="0" w:firstLine="0"/>
        <w:jc w:val="left"/>
        <w:rPr>
          <w:rFonts w:ascii="Verdana" w:cs="Verdana" w:eastAsia="Verdana" w:hAnsi="Verdana"/>
          <w:b w:val="0"/>
          <w:bCs w:val="0"/>
          <w:i w:val="1"/>
          <w:iCs w:val="1"/>
          <w:smallCaps w:val="0"/>
          <w:strike w:val="0"/>
          <w:color w:val="646464"/>
          <w:sz w:val="31.920000076293945"/>
          <w:szCs w:val="31.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646464"/>
          <w:sz w:val="31.920000076293945"/>
          <w:szCs w:val="31.920000076293945"/>
          <w:u w:val="none"/>
          <w:shd w:fill="auto" w:val="clear"/>
          <w:vertAlign w:val="baseline"/>
          <w:rtl w:val="0"/>
        </w:rPr>
        <w:t xml:space="preserve">Sustainable Design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940673828125" w:line="199.92000102996826"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Gervasio, H. &amp; Dimova, 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333740234375" w:line="199.92000102996826"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2018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5927734375" w:line="237.06546306610107"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sectPr>
          <w:pgSz w:h="16820" w:w="11900" w:orient="portrait"/>
          <w:pgMar w:bottom="0.404059998691082" w:top="379.200439453125" w:left="899.9280548095703" w:right="223.199462890625" w:header="0" w:footer="720"/>
          <w:pgNumType w:start="1"/>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5285867" cy="1612900"/>
            <wp:effectExtent b="0" l="0" r="0" t="0"/>
            <wp:docPr id="28"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285867" cy="161290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842010" cy="561340"/>
            <wp:effectExtent b="0" l="0" r="0" t="0"/>
            <wp:docPr id="3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842010" cy="56134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842010" cy="561340"/>
            <wp:effectExtent b="0" l="0" r="0" t="0"/>
            <wp:docPr id="29"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842010" cy="56134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842010" cy="561340"/>
            <wp:effectExtent b="0" l="0" r="0" t="0"/>
            <wp:docPr id="2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842010" cy="56134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EUR 29145 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15518760681152" w:lineRule="auto"/>
        <w:ind w:left="521.3761138916016" w:right="1130.189208984375" w:hanging="4.82421875"/>
        <w:jc w:val="both"/>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This publication is a Technical report by the Joint Research Centre (JRC), the European Commission’s science  and knowledge service. It aims to provide evidence-based scientific support to the European policymaking  process. The scientific output expressed does not imply a policy position of the European Commission. Neither  the European Commission nor any person acting on behalf of the Commission is responsible for the use that  might be made of this publication.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1181640625" w:line="240" w:lineRule="auto"/>
        <w:ind w:left="524.5919036865234" w:right="0" w:firstLine="0"/>
        <w:jc w:val="left"/>
        <w:rPr>
          <w:rFonts w:ascii="Verdana" w:cs="Verdana" w:eastAsia="Verdana" w:hAnsi="Verdana"/>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079999923706055"/>
          <w:szCs w:val="16.079999923706055"/>
          <w:u w:val="none"/>
          <w:shd w:fill="auto" w:val="clear"/>
          <w:vertAlign w:val="baseline"/>
          <w:rtl w:val="0"/>
        </w:rPr>
        <w:t xml:space="preserve">Contact information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775390625" w:line="240" w:lineRule="auto"/>
        <w:ind w:left="532.3101043701172"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Name: Silvia Dimova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78515625" w:line="240" w:lineRule="auto"/>
        <w:ind w:left="518.6421966552734"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Address: European Commission, Joint Research Centre, Directorate E, Unit E.4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78515625" w:line="240" w:lineRule="auto"/>
        <w:ind w:left="532.3101043701172" w:right="0" w:firstLine="0"/>
        <w:jc w:val="left"/>
        <w:rPr>
          <w:rFonts w:ascii="Verdana" w:cs="Verdana" w:eastAsia="Verdana" w:hAnsi="Verdana"/>
          <w:b w:val="0"/>
          <w:bCs w:val="0"/>
          <w:i w:val="0"/>
          <w:iCs w:val="0"/>
          <w:smallCaps w:val="0"/>
          <w:strike w:val="0"/>
          <w:color w:val="0000ff"/>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Email: </w:t>
      </w:r>
      <w:r w:rsidDel="00000000" w:rsidR="00000000" w:rsidRPr="00000000">
        <w:rPr>
          <w:rFonts w:ascii="Verdana" w:cs="Verdana" w:eastAsia="Verdana" w:hAnsi="Verdana"/>
          <w:b w:val="0"/>
          <w:bCs w:val="0"/>
          <w:i w:val="0"/>
          <w:iCs w:val="0"/>
          <w:smallCaps w:val="0"/>
          <w:strike w:val="0"/>
          <w:color w:val="0000ff"/>
          <w:sz w:val="16.079999923706055"/>
          <w:szCs w:val="16.079999923706055"/>
          <w:u w:val="single"/>
          <w:shd w:fill="auto" w:val="clear"/>
          <w:vertAlign w:val="baseline"/>
          <w:rtl w:val="0"/>
        </w:rPr>
        <w:t xml:space="preserve">silvia.dimova@ec.europa.eu</w:t>
      </w:r>
      <w:r w:rsidDel="00000000" w:rsidR="00000000" w:rsidRPr="00000000">
        <w:rPr>
          <w:rFonts w:ascii="Verdana" w:cs="Verdana" w:eastAsia="Verdana" w:hAnsi="Verdana"/>
          <w:b w:val="0"/>
          <w:bCs w:val="0"/>
          <w:i w:val="0"/>
          <w:iCs w:val="0"/>
          <w:smallCaps w:val="0"/>
          <w:strike w:val="0"/>
          <w:color w:val="0000ff"/>
          <w:sz w:val="16.079999923706055"/>
          <w:szCs w:val="16.07999992370605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3125" w:line="240" w:lineRule="auto"/>
        <w:ind w:left="516.5518951416016"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Tel.: +39 0332 78 9063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47412109375" w:line="240" w:lineRule="auto"/>
        <w:ind w:left="519.9286651611328" w:right="0" w:firstLine="0"/>
        <w:jc w:val="left"/>
        <w:rPr>
          <w:rFonts w:ascii="Verdana" w:cs="Verdana" w:eastAsia="Verdana" w:hAnsi="Verdana"/>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079999923706055"/>
          <w:szCs w:val="16.079999923706055"/>
          <w:u w:val="none"/>
          <w:shd w:fill="auto" w:val="clear"/>
          <w:vertAlign w:val="baseline"/>
          <w:rtl w:val="0"/>
        </w:rPr>
        <w:t xml:space="preserve">JRC Science Hub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78515625" w:line="240" w:lineRule="auto"/>
        <w:ind w:left="531.0239410400391"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https://ec.europa.eu/jrc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4677734375" w:line="240" w:lineRule="auto"/>
        <w:ind w:left="519.9286651611328"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JRC110085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48193359375" w:line="240" w:lineRule="auto"/>
        <w:ind w:left="532.3102569580078"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EUR 29145 EN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470703125" w:line="240" w:lineRule="auto"/>
        <w:ind w:left="640.3101348876953"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PDF ISBN 978-92-79-80970-5 ISSN 1831-9424 doi:10.2760/073513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47607421875" w:line="240" w:lineRule="auto"/>
        <w:ind w:left="640.3101348876953"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Print ISBN 978-92-79-80969-9 ISSN 1018-5593 doi:10.2760/90028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472900390625" w:line="240" w:lineRule="auto"/>
        <w:ind w:left="527.3255157470703"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Ispra: European Commission, 2018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463623046875" w:line="240" w:lineRule="auto"/>
        <w:ind w:left="529.0943145751953"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European Union, 2018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45751953125" w:line="247.9105281829834" w:lineRule="auto"/>
        <w:ind w:left="525.2350616455078" w:right="1132.44140625" w:hanging="8.68316650390625"/>
        <w:jc w:val="both"/>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The reuse of the document is authorised, provided the source is acknowledged and the original meaning or  message of the texts are not distorted. The European Commission shall not be held liable for any consequences  stemming from the reuse.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460693359375" w:line="247.66161918640137" w:lineRule="auto"/>
        <w:ind w:left="532.3104095458984" w:right="1130.27587890625" w:hanging="1.52587890625E-4"/>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How to cite this report: Gervasio, H. and Dimova, S., Environmental benchmarks for buildings, EUR 29145 EN,  Publications Office of the European Union, 2018, ISBN 978-92-79-80970-5; doi: 10.2760/073513, JRC110085.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133056640625" w:line="240" w:lineRule="auto"/>
        <w:ind w:left="518.6423492431641"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All images © European Union 2018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5119476318359" w:right="0" w:firstLine="0"/>
        <w:jc w:val="left"/>
        <w:rPr>
          <w:rFonts w:ascii="Verdana" w:cs="Verdana" w:eastAsia="Verdana" w:hAnsi="Verdan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5.920000076293945"/>
          <w:szCs w:val="25.920000076293945"/>
          <w:u w:val="none"/>
          <w:shd w:fill="auto" w:val="clear"/>
          <w:vertAlign w:val="baseline"/>
          <w:rtl w:val="0"/>
        </w:rPr>
        <w:t xml:space="preserve">Contents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12744140625" w:line="364.91326332092285" w:lineRule="auto"/>
        <w:ind w:left="532.2887420654297" w:right="1242.509765625" w:hanging="13.1472778320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Abstract ...............................................................................................................6 1 Introduction......................................................................................................7 2 Background and framework for benchmarking.......................................................8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478515625" w:line="364.37458992004395" w:lineRule="auto"/>
        <w:ind w:left="524.1214752197266" w:right="1242.50976562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2.1 Why the benchmarking of buildings? ..............................................................8 2.2 General framework for the benchmarks ..........................................................8 2.2.1 Graduated approach.............................................................................8 2.2.2 Definition of objectives and scope ..........................................................9 2.2.3 Data collection.....................................................................................9 2.2.4 Quantification of the environmental performance of buildings ..................10 2.2.5 Setting of benchmarks........................................................................11 2.3 Differentiation factors for benchmarking .......................................................13 2.3.1 Building typology and other characteristics ...........................................13 2.3.2 Seismic loading constraints .................................................................13 2.3.3 Climatic constraints............................................................................15 2.3.4 Vulnerability to climatic changes ..........................................................17 3 Benchmarks from literature review ....................................................................19 3.1 Embodied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vs</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global values .........................................................................19 3.2 Buildings with different typologies................................................................19 3.2.1 French survey from HQE.....................................................................19 3.2.2 Annex 57 (International Energy Agency)...............................................21 3.2.3 Summary of the values for building typologies.......................................22 3.3 Buildings with different structural systems ....................................................23 4 Preliminary set of benchmarks for residential buildings.........................................26 4.1 Introduction..............................................................................................26 4.2 Statistical analysis of LCA results .................................................................26 4.2.1 Statistical analysis of European area Z1................................................27 4.2.2 Statistical analysis of European area Z2................................................27 4.2.3 Statistical analysis of European area Z3................................................28 4.2.4 Statistical analysis for all areas............................................................28 4.2.5 Statistical analysis for all building types................................................30 4.3 Comparison with available benchmarks ........................................................31 5 Conclusions ....................................................................................................32 References .........................................................................................................33 List of abbreviations and definitions .......................................................................36 List of figures ......................................................................................................37 List of tables .......................................................................................................38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027404785156" w:line="240" w:lineRule="auto"/>
        <w:ind w:left="5004.60624694824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3415374755859"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Annex 1. List of buildings used in the preliminary set of benchmarks .....................39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1.533203125" w:line="240" w:lineRule="auto"/>
        <w:ind w:left="4995.84159851074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4318389892578"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Acknowledgements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3.27552795410156" w:lineRule="auto"/>
        <w:ind w:left="519.9382781982422" w:right="1185.16357421875" w:firstLine="16.13525390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Financial support of the European Union under a Marie Curie Individual Fellowship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H20- 20-MSCA-IF-2015 707532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is acknowledged.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2578125" w:line="243.27552795410156" w:lineRule="auto"/>
        <w:ind w:left="533.4839630126953" w:right="1123.306884765625" w:hanging="16.93206787109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authors would like to thank the following persons for the assistance and kind support  in the development of this project (in alphabetic order):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435546875" w:line="240" w:lineRule="auto"/>
        <w:ind w:left="1255.993576049804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Ms Athina Papakosta, Sturgis carbon profiling, UK;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0" w:lineRule="auto"/>
        <w:ind w:left="1255.993576049804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Dr. Heiko Trumpf, bollinger-grohmann, Germany;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154296875" w:line="240" w:lineRule="auto"/>
        <w:ind w:left="1255.993576049804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Prof. Jose Guilherme, University of Rio de Janeiro, Brazil;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0" w:lineRule="auto"/>
        <w:ind w:left="1255.993576049804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Prof. Luis Costa Neves, STRUCAD, Portugal;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1255.993576049804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Prof. Milan Veljkovic, University of Delft, the Netherlands;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322265625" w:line="240" w:lineRule="auto"/>
        <w:ind w:left="1249.81834411621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Ing. Rijk Blok, University of Eindhoven, the Netherlands;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240" w:lineRule="auto"/>
        <w:ind w:left="1255.993576049804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Prof. Viorel Ungureanu, University of Timisoara, Romania.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408203125" w:line="240" w:lineRule="auto"/>
        <w:ind w:left="507.78709411621094" w:right="0" w:firstLine="0"/>
        <w:jc w:val="left"/>
        <w:rPr>
          <w:rFonts w:ascii="Verdana" w:cs="Verdana" w:eastAsia="Verdana" w:hAnsi="Verdana"/>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19.920000076293945"/>
          <w:szCs w:val="19.920000076293945"/>
          <w:u w:val="none"/>
          <w:shd w:fill="auto" w:val="clear"/>
          <w:vertAlign w:val="baseline"/>
          <w:rtl w:val="0"/>
        </w:rPr>
        <w:t xml:space="preserve">Authors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Helena Gervasio, Silvia Dimova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2.133178710938" w:line="240" w:lineRule="auto"/>
        <w:ind w:left="5006.39945983886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6622467041016" w:right="0" w:firstLine="0"/>
        <w:jc w:val="left"/>
        <w:rPr>
          <w:rFonts w:ascii="Verdana" w:cs="Verdana" w:eastAsia="Verdana" w:hAnsi="Verdan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5.920000076293945"/>
          <w:szCs w:val="25.920000076293945"/>
          <w:u w:val="none"/>
          <w:shd w:fill="auto" w:val="clear"/>
          <w:vertAlign w:val="baseline"/>
          <w:rtl w:val="0"/>
        </w:rPr>
        <w:t xml:space="preserve">Abstract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2646484375" w:line="243.87765884399414" w:lineRule="auto"/>
        <w:ind w:left="523.5239410400391" w:right="1119.07958984375" w:hanging="6.97204589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research project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EFIResources</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Resource Efficient Construction towards Sustainable  Design</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supports European policies related to the efficient use of resources in  construction and its major goal is the development of a performance based approach for  sustainable design, enabling to assess resource efficiency of buildings in the early stages  of building design.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5087890625" w:line="244.23917770385742" w:lineRule="auto"/>
        <w:ind w:left="516.5518951416016" w:right="1117.3681640625" w:firstLine="13.3464050292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the proposed approach for sustainability design, the performance of a building,  focussing on resource use, is benchmarked against standard and/or best practices. Therefore, benchmarks for the environmental performance of buildings are developed,  providing a consistent and transparent yardstick for the assessment of the environmental  performance of buildings and striving towards an effective reduction of the use of  resources and relative environmental impacts in the building sector.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4.07835960388184" w:lineRule="auto"/>
        <w:ind w:left="526.7110443115234" w:right="1117.22290039062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This report focusses on the framework for the development of benchmarks for the life  cycle performance of buildings and provides a preliminary set of benchmarks for  residential buildings, which may be considered to be representative of the existing  residential building stock in Europe.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7.549438476562" w:line="240" w:lineRule="auto"/>
        <w:ind w:left="5001.61857604980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2478790283203" w:right="0" w:firstLine="0"/>
        <w:jc w:val="left"/>
        <w:rPr>
          <w:rFonts w:ascii="Verdana" w:cs="Verdana" w:eastAsia="Verdana" w:hAnsi="Verdan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5.920000076293945"/>
          <w:szCs w:val="25.920000076293945"/>
          <w:u w:val="none"/>
          <w:shd w:fill="auto" w:val="clear"/>
          <w:vertAlign w:val="baseline"/>
          <w:rtl w:val="0"/>
        </w:rPr>
        <w:t xml:space="preserve">1 Introduction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2646484375" w:line="243.75720977783203" w:lineRule="auto"/>
        <w:ind w:left="523.1255340576172" w:right="1119.307861328125" w:hanging="6.573638916015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built environment is responsible for a high global share of environmental, economic  and social impacts. An enhanced construction in the EU would influence 42% of our final  energy consumption, about 35% of our greenhouse gas emissions, more than 50% of all  extracted materials and enable savings of water up to 30% [1]. Therefore, the standard  way in which construction of buildings is currently performed is jeopardizing the chances  for future generations to meet their own needs.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43.87794494628906" w:lineRule="auto"/>
        <w:ind w:left="523.5239410400391" w:right="1119.847412109375" w:hanging="6.97204589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research project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EFIResources</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Resource Efficient Construction towards Sustainable  Design</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launched in September 2016, aims to support European policies related to the  efficient use of resources in construction and its major goal is the development of a  performance based approach for sustainable design, enabling to assess resource  efficiency of buildings in the stage of building design.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3232421875" w:line="244.48041915893555" w:lineRule="auto"/>
        <w:ind w:left="522.5278472900391" w:right="1122.0483398437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results of this project will facilitate the incorporation of sustainability criteria in  construction practice in consistency with the safety requirements of the design standards,  thus providing building designers with a tool for safe and clean construction.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337890625" w:line="240" w:lineRule="auto"/>
        <w:ind w:left="516.551895141601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work plan of the project is organized into four main tasks: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4.47978973388672" w:lineRule="auto"/>
        <w:ind w:left="1244.8383331298828" w:right="1117.5439453125" w:hanging="357.9280090332031"/>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Task 1: Development of a life cycle model for the assessment of buildings, which  will enable to perform the life cycle analysis of the cases studies and  benchmarking;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8203125" w:line="243.27564239501953" w:lineRule="auto"/>
        <w:ind w:left="1243.0455780029297" w:right="1117.593994140625" w:hanging="356.13525390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Task 2: Identification of best practices and development of a set of benchmarks  for residential and office buildings;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5478515625" w:line="243.27627182006836" w:lineRule="auto"/>
        <w:ind w:left="1254.3999481201172" w:right="1116.97265625" w:hanging="367.4896240234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Task 3: Development of an approach for sustainable design consistent with the  reliability approach of the Eurocodes;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141357421875" w:line="243.2768440246582" w:lineRule="auto"/>
        <w:ind w:left="1247.0294952392578" w:right="1117.437744140625" w:hanging="360.1191711425781"/>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Task 4: Recommendations for standardization and guidelines for sustainable  design.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36474609375" w:line="244.07913208007812" w:lineRule="auto"/>
        <w:ind w:left="526.7110443115234" w:right="1117.976074218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This report corresponds to the work developed in the 2</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nd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task of the project and aims to  establish the general framework for the development of benchmarks and to provide a set  of preliminary benchmarks for the life cycle analysis (LCA) of buildings. The benchmarks  are evaluated based on the LCA model developed in the 1</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st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task of the project [2].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78515625" w:line="244.05052185058594" w:lineRule="auto"/>
        <w:ind w:left="522.5278472900391" w:right="1119.9462890625" w:firstLine="13.5456848144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Hence, the report is organized into the following sections: Section 2 provides a brief  background on the benchmarking for buildings and establishes the general framework for  the development of benchmarks; in Section 3, available benchmarks from a literature  review are provided; a preliminary set of benchmarks calculated based on the model  developed in the 1</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st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task of the project is provided in Section 4 and these values are  compared with the values from the literature review; finally, in Section 5 conclusions are  drawn in relation to the set of values provided in this report and on potential  improvements of these values, which will be addressed in the next task of the project.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7718505859375" w:line="240" w:lineRule="auto"/>
        <w:ind w:left="5003.212203979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8798370361328" w:right="0" w:firstLine="0"/>
        <w:jc w:val="left"/>
        <w:rPr>
          <w:rFonts w:ascii="Verdana" w:cs="Verdana" w:eastAsia="Verdana" w:hAnsi="Verdan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5.920000076293945"/>
          <w:szCs w:val="25.920000076293945"/>
          <w:u w:val="none"/>
          <w:shd w:fill="auto" w:val="clear"/>
          <w:vertAlign w:val="baseline"/>
          <w:rtl w:val="0"/>
        </w:rPr>
        <w:t xml:space="preserve">2 Background and framework for benchmarking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12744140625" w:line="240" w:lineRule="auto"/>
        <w:ind w:left="538.1519317626953"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2.1 Why the benchmarking of buildings?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3.96368980407715" w:lineRule="auto"/>
        <w:ind w:left="533.6830902099609" w:right="1120.13427734375" w:hanging="17.1311950683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project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EFIResources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focus on resource efficiency in the building sector. In this  project, resource efficiency is understood as a reduction of the use of resources in  buildings and relative environmental impacts, over the complete life cycle of the building  [2]. Therefore, in order to measure such reduction and thus assess the efficiency of  buildings, reference values or benchmarks are needed. Hence, a benchmark is here  understood as a point of reference to enable comparisons; while benchmarking is the  process that assesses and compares the performance of a building against the  benchmarks.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4287109375" w:line="243.95298957824707" w:lineRule="auto"/>
        <w:ind w:left="526.9103240966797" w:right="1116.68212890625" w:firstLine="9.1632080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Benchmarks are used to monitor the changes and/or progress in the different sectors  induced by EU directives. For instance, in relation to the energy consumption of  buildings, during the use stage (the operational energy), the EU has adopted a number of  measures to improve the energy efficiency of buildings. Following the implementation of  such measures, energy efficiency certificates are now mandatory for the sale and rental  of buildings, which benchmarks the energy consumption of buildings during the operation  stage. This was a crucial step towards the effective reduction of the operational energy of  buildings and to enable the setting of ambitious targets for energy efficiency by 2020 and  onwards [3].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5283203125" w:line="244.14608001708984" w:lineRule="auto"/>
        <w:ind w:left="526.7110443115234" w:right="1117.412109375" w:firstLine="9.36248779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Moreover, a benchmarking initiative in the US [4], for the energy consumption of  buildings, enables building owners and occupants to benchmark the energy consumption  of their properties, based on the monthly energy bill, with other similar properties. This  has been leading to significant reductions in terms of the energy consumption but also to  an increased awareness and demand for energy-efficient properties. Thus, in this case,  benchmarking is used as a policy tool for forcing the real estate market to properly value  energy efficiency.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92919921875" w:line="243.96451950073242" w:lineRule="auto"/>
        <w:ind w:left="522.5278472900391" w:right="1116.982421875" w:firstLine="13.5456848144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Benchmarking is also commonly used in rating systems for the ecological labelling of  buildings such as LEEDS, BREEAM, HQE, SBTool, DGNB, etc. In these tools, the  evaluation of the performance of a building, based in selected criteria, is compared with  pre-defined thresholds or reference values. Quantitative and qualitative indicators are  then translated into grades that are further aggregated into a final score. The main  drawbacks of these systems were highlighted in [2], but the most relevant one is that  these systems do not enable comparability due to disparities in scope of analysis and  methodologic choices.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306640625" w:line="244.28003311157227" w:lineRule="auto"/>
        <w:ind w:left="522.5278472900391" w:right="1117.20458984375" w:firstLine="13.5456848144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Hence, the main goal for the development of the benchmarks is to develop a consistent  and transparent yardstick to assess the environmental performance of buildings, striving  towards an effective reduction of the use of resources and relative environmental impacts  in the building sector.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8092041015625" w:line="240" w:lineRule="auto"/>
        <w:ind w:left="538.1519317626953"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2.2 General framework for the benchmarks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22705078125" w:line="240" w:lineRule="auto"/>
        <w:ind w:left="536.423873901367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2.2.1 Graduated approach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6513671875" w:line="243.27587127685547" w:lineRule="auto"/>
        <w:ind w:left="522.5278472900391" w:right="1117.723388671875" w:firstLine="5.17929077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One of the key steps in the development of benchmarks is the collection of accurate,  consistently measured and verifiable data [5]. However, as stressed out in [2], in relation  to buildings, data availability and collection are usually limiting the scope and accuracy of  the life cycle assessment of buildings.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56298828125" w:line="243.40993881225586" w:lineRule="auto"/>
        <w:ind w:left="526.7110443115234" w:right="1123.56445312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Thus, following guidance in [5], a graduated approach is herein adopted for the  benchmarks, starting on a simple basis and being refined and increasing in complexity  over time, as data collection on buildings and relative processes becomes more complete  and precise.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3033752441406" w:line="240" w:lineRule="auto"/>
        <w:ind w:left="5000.223922729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522.5278472900391" w:right="1126.015625" w:firstLine="13.5456848144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Hence, the benchmarking of buildings is an evolving process in sophistication and  complexity, starting from simple data and improving the initial set of benchmarks with  time, as illustrated in Figure 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14599609375" w:line="373.8507843017578" w:lineRule="auto"/>
        <w:ind w:left="908.5718536376953" w:right="1580.1007080078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Graduated approach for benchmarking of buildings (based in [5])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263007" cy="2710815"/>
            <wp:effectExtent b="0" l="0" r="0" t="0"/>
            <wp:docPr id="2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263007" cy="271081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1305656433105" w:lineRule="auto"/>
        <w:ind w:left="522.5278472900391" w:right="1121.824951171875" w:firstLine="7.3704528808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the follow-up of this project, a database is foreseen for the collection of building data  (e.g. Bill-of-Materials of buildings, plans, etc.), which will enable to continuously update  the values that will be provided by the end of the current project, thus increasing the  accuracy of these values and the reliability of the approach over time.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36962890625" w:line="240" w:lineRule="auto"/>
        <w:ind w:left="536.423873901367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2.2.2 Definition of objectives and scope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6513671875" w:line="243.8785457611084" w:lineRule="auto"/>
        <w:ind w:left="527.1094512939453" w:right="1117.646484375" w:hanging="10.5575561523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sustainable design approach proposed in the project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EFIResources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aims for the  harmonization between environmental criteria and structural criteria in the design of  buildings, leading to an enhanced building design that copes with required safety  demands, but with lower pressure on the environment and on the use of natural  resources.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44775390625" w:line="244.480562210083" w:lineRule="auto"/>
        <w:ind w:left="526.7110443115234" w:right="1117.469482421875" w:firstLine="3.1872558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the European codes for structural design, the Eurocodes, a limit state approach is  adopted, in which the actual performance of the structure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S</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is compared to an  acceptable or targeted performance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R</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and failure is expressed by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R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&lt;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S</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39.26587581634521" w:lineRule="auto"/>
        <w:ind w:left="522.5278472900391" w:right="1119.55932617187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To be in line with the above approach, a similar procedure is proposed in this project,  which relates the environmental performance of a building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S</w:t>
      </w:r>
      <w:r w:rsidDel="00000000" w:rsidR="00000000" w:rsidRPr="00000000">
        <w:rPr>
          <w:rFonts w:ascii="Verdana" w:cs="Verdana" w:eastAsia="Verdana" w:hAnsi="Verdana"/>
          <w:b w:val="0"/>
          <w:bCs w:val="0"/>
          <w:i w:val="1"/>
          <w:iCs w:val="1"/>
          <w:smallCaps w:val="0"/>
          <w:strike w:val="0"/>
          <w:color w:val="000000"/>
          <w:sz w:val="12.960000038146973"/>
          <w:szCs w:val="12.960000038146973"/>
          <w:u w:val="none"/>
          <w:shd w:fill="auto" w:val="clear"/>
          <w:vertAlign w:val="baseline"/>
          <w:rtl w:val="0"/>
        </w:rPr>
        <w:t xml:space="preserve">env</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to values referring to  standard and/or best practices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R</w:t>
      </w:r>
      <w:r w:rsidDel="00000000" w:rsidR="00000000" w:rsidRPr="00000000">
        <w:rPr>
          <w:rFonts w:ascii="Verdana" w:cs="Verdana" w:eastAsia="Verdana" w:hAnsi="Verdana"/>
          <w:b w:val="0"/>
          <w:bCs w:val="0"/>
          <w:i w:val="1"/>
          <w:iCs w:val="1"/>
          <w:smallCaps w:val="0"/>
          <w:strike w:val="0"/>
          <w:color w:val="000000"/>
          <w:sz w:val="12.960000038146973"/>
          <w:szCs w:val="12.960000038146973"/>
          <w:u w:val="none"/>
          <w:shd w:fill="auto" w:val="clear"/>
          <w:vertAlign w:val="baseline"/>
          <w:rtl w:val="0"/>
        </w:rPr>
        <w:t xml:space="preserve">env</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Hence, the main goal of the benchmarks it to  enable such comparison. Furthermore, target values may be defined taking into account  that the final goal of the approach is the improvement of the performance of the building  in terms of the use of resources and relative environmental impacts.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3232421875" w:line="243.27598571777344" w:lineRule="auto"/>
        <w:ind w:left="526.7110443115234" w:right="1118.981933593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assessment of the environmental performance of buildings, which is based on life  cycle analysis entailing all stages throughout the lifetime of buildings, is limited to the  structural system or frame of the building, including the foundations. Moreover, currently  only two types of buildings are addressed: residential and office buildings.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56298828125" w:line="243.27587127685547" w:lineRule="auto"/>
        <w:ind w:left="523.1255340576172" w:right="1126.3916015625" w:firstLine="12.94799804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However, the scope of the analysis may be expanded in the future, in order to account  for the complete building and other building typologies.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463623046875" w:line="240" w:lineRule="auto"/>
        <w:ind w:left="536.423873901367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2.2.3 Data collection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636108398438" w:line="243.2760715484619" w:lineRule="auto"/>
        <w:ind w:left="526.7110443115234" w:right="1126.60400390625" w:hanging="10.159149169921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definition of benchmarks entails the collection of two different types of data: (i) the  collection of building data, which includes quantities of materials and list of processes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145080566406" w:line="240" w:lineRule="auto"/>
        <w:ind w:left="4999.227828979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522.5278472900391" w:right="1122.92724609375" w:firstLine="4.1831970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considered in the scope of the analysis, throughout the life cycle of the building; and (ii)  the collection of environmental data for the quantification of potential environmental  impacts.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4.23894882202148" w:lineRule="auto"/>
        <w:ind w:left="522.5278472900391" w:right="1117.259521484375" w:firstLine="7.3704528808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relation to the first type of information, data is preferably collected from design offices  or building promoters, and consists on the Bill of Materials (BoM) produced for bidding  purposes. This data can be provided directly from software platforms like BIM. Additional  information for the definition of realistic scenarios that are needed for the assessment of  the different life cycle stages of the building, should preferably be provided and/or  discussed with building professionals.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4794921875" w:line="243.2761287689209" w:lineRule="auto"/>
        <w:ind w:left="534.4799041748047" w:right="1122.354736328125" w:hanging="4.5816040039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this project, building data was collected from design offices, building promoters and  research centres, acknowledged in this report, but also from other sources in the  literature.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13623046875" w:line="243.67692947387695" w:lineRule="auto"/>
        <w:ind w:left="522.5278472900391" w:right="1116.905517578125" w:firstLine="13.54568481445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However, the preliminary set of benchmarks provided in this report is based on building  data from the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IMPRO-Building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project [6]. This project aimed for the identification of environmental improvement potentials of residential buildings in the EU-25 and  therefore, all relevant types of residential buildings were taken into account: single family (SI) houses, multi-apartment buildings (MF) and high-rise buildings (HR). Building  data provided in this project represented 53%, 37% and 10%, respectively for SI, MF  and HR, of the existing EU-25 building stock.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822265625" w:line="243.87834548950195" w:lineRule="auto"/>
        <w:ind w:left="522.5278472900391" w:right="1117.509765625" w:firstLine="6.97204589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Since, the data provided in the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IMPRO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project is mostly referring to existing buildings in  the EU, the construction year varies from second half of the 20</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th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century (although a few  cases are from the beginning of the century) to the beginning of the 21</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st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century, the  preliminary set of benchmarks provided in this report may be considered to be  representative of the existing residential building stock in Europe.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38671875" w:line="244.21305656433105" w:lineRule="auto"/>
        <w:ind w:left="522.5278472900391" w:right="1122.83203125" w:firstLine="5.17929077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On the other hand, building data collected from design offices, building promoters and  research centres, is referring to recent buildings, and this data will be used to improve  the preliminary set of benchmarks provided in this report and to identify best practices in  the building sector. The analysis of this data is not included in this report.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373779296875" w:line="243.8785457611084" w:lineRule="auto"/>
        <w:ind w:left="533.4839630126953" w:right="1120.413818359375" w:hanging="3.5856628417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relation to the second type of information, data for the environmental assessment of  buildings may be collected from generic databases for LCA and from Environmental  Product Declarations (EDPs). In the project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EFIResources</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both sources of data are used  in the calculation of the benchmarks. Both sources of data and respective quality  requirements were described in [2].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1396484375" w:line="240" w:lineRule="auto"/>
        <w:ind w:left="536.423873901367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2.2.4 Quantification of the environmental performance of buildings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6611328125" w:line="244.7816276550293" w:lineRule="auto"/>
        <w:ind w:left="526.7110443115234" w:right="1125.0122070312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To assure consistency in the development of the benchmarks it is crucial that all  calculations are based on the same methodological choices and on the same quality of  data.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649658203125" w:line="243.87808799743652" w:lineRule="auto"/>
        <w:ind w:left="526.7110443115234" w:right="1116.329345703125" w:firstLine="9.36248779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Hence, the model developed for the life cycle assessment of buildings, leading to the  definition of the set of benchmarks, is based on the standardized framework for LCA  developed by CEN TC 350 for the sustainability assessment of construction works. In this  case, as the assessment is made at the building level, the most relevant standard is EN  15978 [8].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478271484375" w:line="244.48030471801758" w:lineRule="auto"/>
        <w:ind w:left="524.9182891845703" w:right="1121.900634765625" w:hanging="8.36639404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adoption of a standardized procedure ensures the use of a consistent approach,  which was developed specifically for the assessment of construction works, thus enabling  comparability and benchmarking.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4.48039054870605" w:lineRule="auto"/>
        <w:ind w:left="526.7110443115234" w:right="1120.3466796875" w:hanging="7.569580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description of this model and its implementation into a professional software for LCA,  are fully provided in [2]. Therefore, in this sub-section, only the most relevant aspects  are addressed.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483764648438" w:line="243.2761287689209" w:lineRule="auto"/>
        <w:ind w:left="522.5278472900391" w:right="1118.192138671875" w:hanging="3.38638305664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As already referred, the scope of the analysis takes into account the complete life cycle  of the building, from the product stage to the end-of-life stage. To provide full  transparency of the results, data is not aggregated throughout the life cycle of the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144775390625" w:line="240" w:lineRule="auto"/>
        <w:ind w:left="4952.963180541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522.5278472900391" w:right="1117.882080078125" w:firstLine="11.952056884765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building. As illustrated in Figure 2, the potential environmental impacts occurring over  the life cycle of the building are allocated to the stage in which they occur, according to  EN 15978.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3.87765884399414" w:lineRule="auto"/>
        <w:ind w:left="526.7110443115234" w:right="1120.38818359375" w:firstLine="9.36248779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Hence, a set of benchmarks will be defined for each Module in the scope of LCA of  buildings, although life cycle aggregated results will also be provided. It is noted that  usually Modules A1 to A3, corresponding to a cradle-to-gate analysis (C2Gt) are usually  aggregated in LCA communications and reports, and this will also be the case in this  report.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162109375" w:line="372.07197189331055" w:lineRule="auto"/>
        <w:ind w:left="538.0719757080078" w:right="1220.60058593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Scope of the LCA of buildings according to CEN TC350 standards [8]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726557" cy="2531745"/>
            <wp:effectExtent b="0" l="0" r="0" t="0"/>
            <wp:docPr id="27"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26557" cy="253174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7930374145508" w:lineRule="auto"/>
        <w:ind w:left="526.7110443115234" w:right="1120.27954101562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benchmarks for the assessment of the environmental performance of buildings are  based on two types of environmental indicators [8]: (i) indicators focussing on impact  categories using characterisation factors, and (ii) indicators focussing on environmental  input and output (I/O) flows. Both types of indicators are indicated in Table 1.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78515625" w:line="245.685453414917" w:lineRule="auto"/>
        <w:ind w:left="522.5278472900391" w:right="1117.161865234375" w:hanging="5.9759521484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list of indicators provided in Table 1, covers most flows and environmental problems  that are currently considered in other similar approaches for LCA, as discussed in [2].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484375" w:line="243.87840270996094" w:lineRule="auto"/>
        <w:ind w:left="522.5278472900391" w:right="1121.3989257812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framework for the assessment of the environmental performance of buildings, briefly  described in the above paragraphs, provides a consistent and transparent basis for the  definition of benchmarks. However, it is observed that this framework is flexible enough  to allow the extension of its scope and the inclusion of other indicators that might  become relevant for the performance of buildings, including economic and social aspects.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140380859375" w:line="240" w:lineRule="auto"/>
        <w:ind w:left="536.423873901367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2.2.5 Setting of benchmarks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6513671875" w:line="244.0788459777832" w:lineRule="auto"/>
        <w:ind w:left="522.5278472900391" w:right="1126.4013671875" w:firstLine="13.5456848144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For the development of benchmarks, quantitative information is needed related with the  environmental performance of buildings, to enable the definition of reference values or  sustainability levels. Different information sources may be considered, which depend on  the purpose of the benchmarks [7]: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815673828125" w:line="243.27587127685547" w:lineRule="auto"/>
        <w:ind w:left="1242.4478912353516" w:right="1122.244873046875" w:hanging="355.5375671386719"/>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Hence, when the purpose is to establish politic targets or strategies, then target  values are pursued, which are often related to economic, technical or  environmental optimum considerations;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56298828125" w:line="243.27604293823242" w:lineRule="auto"/>
        <w:ind w:left="1246.631088256836" w:right="1125.595703125" w:hanging="359.72076416015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On the other side, when the purpose is to establish limit values to be prescribed  by codes and standards, then limit values may be defined by the lowest  acceptable value, representing the minimum acceptable performance;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449584960938" w:line="243.2761287689209" w:lineRule="auto"/>
        <w:ind w:left="1246.631088256836" w:right="1125.39794921875" w:hanging="359.72076416015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When the aim is to promote an improved environmental building design, then  reference values and/or best values may be provided by the statistical analysis of  an appropriate set of data.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14453125" w:line="240" w:lineRule="auto"/>
        <w:ind w:left="4952.963180541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1.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Indicators describing environmental impacts and I/O flows [8] </w:t>
      </w:r>
    </w:p>
    <w:tbl>
      <w:tblPr>
        <w:tblStyle w:val="Table1"/>
        <w:tblW w:w="9121.520233154297" w:type="dxa"/>
        <w:jc w:val="left"/>
        <w:tblInd w:w="403.751907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4.119720458984"/>
        <w:gridCol w:w="1840.8001708984375"/>
        <w:gridCol w:w="1896.600341796875"/>
        <w:tblGridChange w:id="0">
          <w:tblGrid>
            <w:gridCol w:w="5384.119720458984"/>
            <w:gridCol w:w="1840.8001708984375"/>
            <w:gridCol w:w="1896.600341796875"/>
          </w:tblGrid>
        </w:tblGridChange>
      </w:tblGrid>
      <w:tr>
        <w:trPr>
          <w:cantSplit w:val="0"/>
          <w:trHeight w:val="22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Input/Output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Unit</w:t>
            </w:r>
          </w:p>
        </w:tc>
      </w:tr>
      <w:tr>
        <w:trPr>
          <w:cantSplit w:val="0"/>
          <w:trHeight w:val="44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128.99993896484375" w:right="432.5616455078125" w:hanging="0.35995483398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Use of renewable primary energy excluding energy resources used as  raw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120.5999755859375" w:right="307.559814453125" w:firstLine="12.23999023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MJ, net calorific  value</w:t>
            </w:r>
          </w:p>
        </w:tc>
      </w:tr>
      <w:tr>
        <w:trPr>
          <w:cantSplit w:val="0"/>
          <w:trHeight w:val="448.79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Use of renewable primary energy resources used as raw 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0.5999755859375" w:right="307.559814453125" w:firstLine="12.23999023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MJ, net calorific  value</w:t>
            </w:r>
          </w:p>
        </w:tc>
      </w:tr>
      <w:tr>
        <w:trPr>
          <w:cantSplit w:val="0"/>
          <w:trHeight w:val="446.4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8.99993896484375" w:right="938.2598876953125" w:hanging="0.35995483398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Use of non-renewable primary energy excluding primary energy  resources used as raw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0.5999755859375" w:right="307.559814453125" w:firstLine="12.23999023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MJ, net calorific  value</w:t>
            </w:r>
          </w:p>
        </w:tc>
      </w:tr>
      <w:tr>
        <w:trPr>
          <w:cantSplit w:val="0"/>
          <w:trHeight w:val="44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Use of non-renewable primary energy resources used as raw 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20.5999755859375" w:right="307.559814453125" w:firstLine="12.23999023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MJ, net calorific  value</w:t>
            </w:r>
          </w:p>
        </w:tc>
      </w:tr>
      <w:tr>
        <w:trPr>
          <w:cantSplit w:val="0"/>
          <w:trHeight w:val="22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Use of secondary 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w:t>
            </w:r>
          </w:p>
        </w:tc>
      </w:tr>
      <w:tr>
        <w:trPr>
          <w:cantSplit w:val="0"/>
          <w:trHeight w:val="22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Use of renewable secondary fuels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996582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MJ</w:t>
            </w:r>
          </w:p>
        </w:tc>
      </w:tr>
      <w:tr>
        <w:trPr>
          <w:cantSplit w:val="0"/>
          <w:trHeight w:val="23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Use of non-renewable secondary fuels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996582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MJ</w:t>
            </w:r>
          </w:p>
        </w:tc>
      </w:tr>
      <w:tr>
        <w:trPr>
          <w:cantSplit w:val="0"/>
          <w:trHeight w:val="22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Net use of fresh 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00146484375" w:right="0" w:firstLine="0"/>
              <w:jc w:val="left"/>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3</w:t>
            </w:r>
          </w:p>
        </w:tc>
      </w:tr>
      <w:tr>
        <w:trPr>
          <w:cantSplit w:val="0"/>
          <w:trHeight w:val="228.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 Hazardous waste disposed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w:t>
            </w:r>
          </w:p>
        </w:tc>
      </w:tr>
      <w:tr>
        <w:trPr>
          <w:cantSplit w:val="0"/>
          <w:trHeight w:val="23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 Non-hazardous waste disposed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w:t>
            </w:r>
          </w:p>
        </w:tc>
      </w:tr>
      <w:tr>
        <w:trPr>
          <w:cantSplit w:val="0"/>
          <w:trHeight w:val="22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 Radioactive waste disposed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w:t>
            </w:r>
          </w:p>
        </w:tc>
      </w:tr>
      <w:tr>
        <w:trPr>
          <w:cantSplit w:val="0"/>
          <w:trHeight w:val="22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 Components for re-use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w:t>
            </w:r>
          </w:p>
        </w:tc>
      </w:tr>
      <w:tr>
        <w:trPr>
          <w:cantSplit w:val="0"/>
          <w:trHeight w:val="23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 Materials for recycling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w:t>
            </w:r>
          </w:p>
        </w:tc>
      </w:tr>
      <w:tr>
        <w:trPr>
          <w:cantSplit w:val="0"/>
          <w:trHeight w:val="22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 Materials for energy recovery (not being waste incineration)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w:t>
            </w:r>
          </w:p>
        </w:tc>
      </w:tr>
      <w:tr>
        <w:trPr>
          <w:cantSplit w:val="0"/>
          <w:trHeight w:val="44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 Exported energy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996582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MJ for each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124.55993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energy carrier</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Environmental impacts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Abbreviation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Unit</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Global Warming Potential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39910888671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Depletion potential of the stratospheric ozone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 CFC 11 eq.</w:t>
            </w:r>
          </w:p>
        </w:tc>
      </w:tr>
      <w:tr>
        <w:trPr>
          <w:cantSplit w:val="0"/>
          <w:trHeight w:val="2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99230957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Acidification potential of land and 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 SO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eq.</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39910888671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Eutrophication potential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 PO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4</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w:t>
            </w:r>
          </w:p>
        </w:tc>
      </w:tr>
      <w:tr>
        <w:trPr>
          <w:cantSplit w:val="0"/>
          <w:trHeight w:val="44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2.1600341796875" w:right="46.0595703125" w:firstLine="8.27987670898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Formation potential of tropospheric ozone photochemical  oxidants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POCP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 C</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4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w:t>
            </w:r>
          </w:p>
        </w:tc>
      </w:tr>
      <w:tr>
        <w:trPr>
          <w:cantSplit w:val="0"/>
          <w:trHeight w:val="2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99230957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Abiotic Resource Depletion Potential for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ADP</w:t>
            </w:r>
            <w:r w:rsidDel="00000000" w:rsidR="00000000" w:rsidRPr="00000000">
              <w:rPr>
                <w:rFonts w:ascii="Verdana" w:cs="Verdana" w:eastAsia="Verdana" w:hAnsi="Verdana"/>
                <w:b w:val="0"/>
                <w:bCs w:val="0"/>
                <w:i w:val="0"/>
                <w:iCs w:val="0"/>
                <w:smallCaps w:val="0"/>
                <w:strike w:val="0"/>
                <w:color w:val="000000"/>
                <w:sz w:val="12"/>
                <w:szCs w:val="12"/>
                <w:u w:val="none"/>
                <w:shd w:fill="auto" w:val="clear"/>
                <w:vertAlign w:val="baseline"/>
                <w:rtl w:val="0"/>
              </w:rPr>
              <w:t xml:space="preserve">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0361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kg Sb eq.</w:t>
            </w:r>
          </w:p>
        </w:tc>
      </w:tr>
      <w:tr>
        <w:trPr>
          <w:cantSplit w:val="0"/>
          <w:trHeight w:val="4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99230957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Abiotic Resource Depletion Potential of fossil fuels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ADP</w:t>
            </w:r>
            <w:r w:rsidDel="00000000" w:rsidR="00000000" w:rsidRPr="00000000">
              <w:rPr>
                <w:rFonts w:ascii="Verdana" w:cs="Verdana" w:eastAsia="Verdana" w:hAnsi="Verdana"/>
                <w:b w:val="0"/>
                <w:bCs w:val="0"/>
                <w:i w:val="0"/>
                <w:iCs w:val="0"/>
                <w:smallCaps w:val="0"/>
                <w:strike w:val="0"/>
                <w:color w:val="000000"/>
                <w:sz w:val="12"/>
                <w:szCs w:val="12"/>
                <w:u w:val="none"/>
                <w:shd w:fill="auto" w:val="clear"/>
                <w:vertAlign w:val="baseline"/>
                <w:rtl w:val="0"/>
              </w:rPr>
              <w:t xml:space="preserve">fossil fuels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0.5999755859375" w:right="307.559814453125" w:firstLine="12.23999023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MJ, net calorific  value</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22317504883" w:lineRule="auto"/>
        <w:ind w:left="527.3087310791016" w:right="1118.22509765625" w:firstLine="2.5895690917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the scope of the project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EFIResources</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benchmarks will be developed, based on the  statistical analysis of a sample of buildings collected in the project.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66748046875" w:line="243.8785457611084" w:lineRule="auto"/>
        <w:ind w:left="527.1094512939453" w:right="1121.00830078125" w:firstLine="8.96408081054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Moreover, ‘conventional’ practice (also known as ‘business as usual’) is assumed to be  given by the median value of the environmental performance of the buildings  (represented by any of the indicators in Table 1); while, ‘best practice’ is assumed to be  given by the value of the environmental performance that is achieved by only 25% of the  buildings, i.e., the upper limit of the first quartile, as illustrated in Figure 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44775390625" w:line="240" w:lineRule="auto"/>
        <w:ind w:left="3159.412155151367"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3.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‘Conventional’ and ‘best’ values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3974609375" w:line="240" w:lineRule="auto"/>
        <w:ind w:left="2663.0721282958984"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3035300" cy="2095119"/>
            <wp:effectExtent b="0" l="0" r="0" t="0"/>
            <wp:docPr id="25"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035300" cy="209511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8002624511719" w:line="240" w:lineRule="auto"/>
        <w:ind w:left="4952.963180541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527.3087310791016" w:right="1124.169921875" w:firstLine="2.5895690917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It is important to highlight that the quality and robustness of benchmarks based on a  statistical analysis is strongly dependent on the quality and representativeness of the  sample in relation to the ‘basic population’.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14697265625" w:line="240" w:lineRule="auto"/>
        <w:ind w:left="538.1519317626953"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2.3 Differentiation factors for benchmarking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4.07835960388184" w:lineRule="auto"/>
        <w:ind w:left="522.5278472900391" w:right="1123.9770507812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design of a building depends of local conditions, technical and functional  requirements from safety regulations and/or client’s specific requirements. Therefore, the  environmental performance of buildings will also be influenced by the same factors and  the definition of benchmarks should also take into account these differentiation factors.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9072265625" w:line="243.27552795410156" w:lineRule="auto"/>
        <w:ind w:left="526.7110443115234" w:right="1126.04248046875" w:firstLine="3.187255859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the following paragraphs, the main aspects that may influence the design of a building  and the respective environmental performance are discussed.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1513671875" w:line="240" w:lineRule="auto"/>
        <w:ind w:left="536.423873901367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2.3.1 Building typology and other characteristics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529296875" w:line="243.2761287689209" w:lineRule="auto"/>
        <w:ind w:left="527.1094512939453" w:right="1117.666015625" w:hanging="7.96798706054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Although, in special cases, general benchmarks set for large groups of buildings (e.g.  residential buildings) are useful, it is important that benchmarks are defined for smaller  groups, with more specific characteristics (e.g. single houses or apartment blocks).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2578125" w:line="243.2742691040039" w:lineRule="auto"/>
        <w:ind w:left="523.1255340576172" w:right="1118.1005859375" w:hanging="6.573638916015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Thus, to enable the definition of benchmarks at more specific levels of detail, the  following information was collected for each building (whenever available):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679687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Type of building;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Location of building;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Total Gross Floor Area (in 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Number of floors;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3325195312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Number of occupants/working places;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(Estimated) design working life (in years);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Building ref. year;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Location of building;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Seismic area;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884.51026916503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Climatic area.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4.88216400146484" w:lineRule="auto"/>
        <w:ind w:left="526.9103240966797" w:right="1118.1103515625" w:firstLine="2.987976074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relation to building typology, in the scope of this project, the focus is given to  residential and office buildings. Moreover, for residential buildings, three different types  of buildings are considered: single family houses, multi-family houses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5 storeys) and  multi-storey buildings (&gt; 5 storeys).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813232421875" w:line="244.07910346984863" w:lineRule="auto"/>
        <w:ind w:left="534.4799041748047" w:right="1116.97265625" w:hanging="4.5816040039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case of a residential building, the number of occupants refers to the number of people  living inside the building on a permanent basis; while, in case of an office building, the  number of occupants or working places refers to the number of people working in the  building or the number of the respective working places.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815673828125" w:line="244.48016166687012" w:lineRule="auto"/>
        <w:ind w:left="526.7110443115234" w:right="1119.355468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(estimated) design working life corresponds to the reference period for the life cycle  analysis, and the building reference year is the year corresponding to the design of the  building or to the construction of the building (when applicable).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3.27587127685547" w:lineRule="auto"/>
        <w:ind w:left="522.5278472900391" w:right="1117.630615234375" w:hanging="5.9759521484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seismic area may be identified by the reference ground acceleration of the location of  the building, see sub-section 2.3.2; while, the climatic area may be identified by the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Köppen-Geiger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climate classification, see sub-section 2.3.3.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475830078125" w:line="240" w:lineRule="auto"/>
        <w:ind w:left="536.423873901367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2.3.2 Seismic loading constraints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63916015625" w:line="244.48050498962402" w:lineRule="auto"/>
        <w:ind w:left="522.5278472900391" w:right="1117.09716796875" w:firstLine="5.17929077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One of the design loads prescribed in the structural codes for building design is the  seismic load. The severity of this load depend on the building location. In locations prone  to seismic events, the seismic load may be governing the design of the building. In such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148315429688" w:line="240" w:lineRule="auto"/>
        <w:ind w:left="4952.963180541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10444641113" w:lineRule="auto"/>
        <w:ind w:left="522.5278472900391" w:right="1119.20654296875" w:firstLine="12.1511840820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404059998691082" w:top="379.200439453125" w:left="899.9280548095703" w:right="223.199462890625" w:header="0" w:footer="720"/>
          <w:cols w:equalWidth="0" w:num="1">
            <w:col w:space="0" w:w="10776.872482299805"/>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locations, structures are required to bear proper stiffness and load-bearing capacity to  resist frequent earthquakes, and possess proper ductility and energy-dissipating capacity  to avoid collapse, in case of rare earthquakes [9]. Hence, the seismic design influences  the way the structure is conceived and consequently, the quantities of materials that are  required.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4599609375" w:line="243.27552795410156" w:lineRule="auto"/>
        <w:ind w:left="22.7862548828125" w:right="0" w:hanging="4.7808837890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4.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European seismic hazard map  [10]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4843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641473" cy="2151380"/>
            <wp:effectExtent b="0" l="0" r="0" t="0"/>
            <wp:docPr id="1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641473" cy="215138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5720977783203" w:lineRule="auto"/>
        <w:ind w:left="317.7734375" w:right="5.4541015625" w:hanging="6.57348632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Therefore, the definition of benchmarks  for buildings should take this into  account, as the vulnerability of  buildings to seismic hazards varies  across European countries, as observed  from Figure 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5185546875" w:line="244.27888870239258" w:lineRule="auto"/>
        <w:ind w:left="317.7734375" w:right="3.525390625" w:hanging="6.57348632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hazard map in Figure 4 displays the  Peak Ground Acceleration (PGA) (with a  period of return of 475 years) in Europe  for buildings [10].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173828125" w:line="244.48010444641113" w:lineRule="auto"/>
        <w:ind w:left="321.5582275390625" w:right="2.97119140625" w:firstLine="2.9882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0.404059998691082" w:top="379.200439453125" w:left="1417.0001220703125" w:right="1565.9716796875" w:header="0" w:footer="720"/>
          <w:cols w:equalWidth="0" w:num="2">
            <w:col w:space="0" w:w="4460"/>
            <w:col w:space="0" w:w="4460"/>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this case, low hazard areas (PGA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0.1g) are coloured in blue-green,  moderate hazard areas in yellow orange and high hazard areas (PGA &gt;  0.25g) in red.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156982421875" w:line="243.8382339477539" w:lineRule="auto"/>
        <w:ind w:left="526.7110443115234" w:right="1120.668945312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reference standard in Europe for the seismic design of buildings is the Eurocode 8  [11], which establishes the requirements for structures to ensure that, in the event of  earthquakes, human lives are protected and damage is limited. This code recommends to  map the seismic zones of Member State (MS) countries in terms of the reference ground  acceleration, and most MS have already complied with this recommendation, as  illustrated in Figure 5 for some countries.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485595703125" w:line="240" w:lineRule="auto"/>
        <w:ind w:left="2086.0118865966797"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5.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Seismic zone maps adopted by EU Member States [12]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392822265625" w:line="204.62777137756348" w:lineRule="auto"/>
        <w:ind w:left="758.0719757080078" w:right="1536.800537109375"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2584450" cy="1737360"/>
            <wp:effectExtent b="0" l="0" r="0" t="0"/>
            <wp:docPr id="1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2584450" cy="173736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2430780" cy="2000885"/>
            <wp:effectExtent b="0" l="0" r="0" t="0"/>
            <wp:docPr id="2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430780" cy="2000885"/>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26.799999872843426"/>
          <w:szCs w:val="26.799999872843426"/>
          <w:u w:val="none"/>
          <w:shd w:fill="auto" w:val="clear"/>
          <w:vertAlign w:val="subscript"/>
          <w:rtl w:val="0"/>
        </w:rPr>
        <w:t xml:space="preserve">(a) France</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(b) Hungary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5908203125" w:line="240" w:lineRule="auto"/>
        <w:ind w:left="4952.963180541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3781814575195" w:lineRule="auto"/>
        <w:ind w:left="790.0719451904297" w:right="1586.800537109375" w:firstLine="0"/>
        <w:jc w:val="center"/>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390775" cy="1665605"/>
            <wp:effectExtent b="0" l="0" r="0" t="0"/>
            <wp:docPr id="1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2390775" cy="1665605"/>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520950" cy="1684020"/>
            <wp:effectExtent b="0" l="0" r="0" t="0"/>
            <wp:docPr id="18"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2520950" cy="168402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26.799999872843426"/>
          <w:szCs w:val="26.799999872843426"/>
          <w:u w:val="none"/>
          <w:shd w:fill="auto" w:val="clear"/>
          <w:vertAlign w:val="superscript"/>
          <w:rtl w:val="0"/>
        </w:rPr>
        <w:t xml:space="preserve">(c) Portugal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(d) Romania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32666015625" w:line="244.47978973388672" w:lineRule="auto"/>
        <w:ind w:left="522.5278472900391" w:right="1117.3974609375" w:firstLine="13.5456848144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Hence, in the quantification of the benchmarks for the buildings, the information about  the location of the building should be specified, according to the respective national  seismic map (when available).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16015625" w:line="240" w:lineRule="auto"/>
        <w:ind w:left="536.423873901367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2.3.3 Climatic constraints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5390625" w:line="244.48030471801758" w:lineRule="auto"/>
        <w:ind w:left="526.9103240966797" w:right="1116.97265625" w:hanging="10.358428955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climate is a key-factor for the energy consumption of buildings. Besides the direct  influence of the climate on the energy needs for heating and cooling, the specific location  of the building is also responsible for other types of energy consumption, like the  increased energy requirements for building illumination when the number of daylight  hours decreases [13].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3.27627182006836" w:lineRule="auto"/>
        <w:ind w:left="534.4799041748047" w:right="1119.835205078125" w:hanging="17.92800903320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design of a building should take into account the climatic characteristics where the  building is supposed to be built, in order to comply with normative energy requirements.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141357421875" w:line="244.07930374145508" w:lineRule="auto"/>
        <w:ind w:left="526.7110443115234" w:right="1117.263183593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Taking as example the Köppen-Geiger climate classification [14], in Europe four general  climatic regions may be identified, as illustrated in Figure 6: (i) regions with lower  latitudes (below 45ºN) of southern Europe, in which the climate is labelled as Csa and  Csb; (ii) western central European countries, where the climate is mainly classified as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8515625" w:line="244.48087692260742" w:lineRule="auto"/>
        <w:ind w:left="534.4799041748047" w:right="1117.81494140625" w:hanging="6.7727661132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Cfb; (iii) eastern central European countries, classified as Dfb; and (iv) regions with  higher latitudes (above 55ºN), the Nordic European countries, in which the climate is  mostly frequently labelled as Dfc.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3.8785457611084" w:lineRule="auto"/>
        <w:ind w:left="519.1414642333984" w:right="1119.713134765625" w:hanging="3.38638305664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As observed in Figure 6, a building designed for a southern European country has to cope  with warm temperatures, dry and hot summers; whereas, buildings in northern countries  have to cope with low temperatures, humidity and cool summers. Therefore, in general,  a building designed for a southern country is not appropriate for a northern country and  vice-versa.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149658203125" w:line="240" w:lineRule="auto"/>
        <w:ind w:left="516.551895141601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These differences are illustrated by the example provided in the following paragraphs.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3.7577247619629" w:lineRule="auto"/>
        <w:ind w:left="519.1414642333984" w:right="1117.567138671875" w:hanging="3.38638305664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LCA was performed for 76 buildings located in 3 main climatic zones in Europe,  according to the respective heating degree days (HDD): zone Z1 – South European  countries (564 to 2500 HDD), zone Z2 – Central European countries (2501 to 4000  HDD), and zone Z3 – North European countries (4000 to 5823 HDD). Data for these  buildings was retrieved from a previous project IMPRO buildings [6] (further details about  these buildings are provided in Section 4 of this report).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78271484375" w:line="243.87808799743652" w:lineRule="auto"/>
        <w:ind w:left="516.5518951416016" w:right="1124.852294921875" w:firstLine="0"/>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Two indicators were considered: Global Warming Potential (GWP) and Primary Energy  (PE). Moreover, these two impacts are divided into embodied and operational impacts.  The latter refer to the impacts due to the consumption of energy for heating and cooling  the building during its service life; while the former refer to the impacts due to the  production, use and ultimately disposal of the materials.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1471557617188" w:line="243.2760715484619" w:lineRule="auto"/>
        <w:ind w:left="522.5278472900391" w:right="1122.935791015625" w:hanging="5.9759521484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results are normalized by the area of each building and per year (taking into account  the working life considered for each building). Furthermore, the LCA results are split into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145568847656" w:line="240" w:lineRule="auto"/>
        <w:ind w:left="4952.963180541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522.5278472900391" w:right="1127.39990234375" w:firstLine="4.382476806640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embodied impacts and impacts due to the use of energy during the operational stage of  the building, operational impacts.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16064453125" w:line="240" w:lineRule="auto"/>
        <w:ind w:left="2258.8121795654297"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6.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Köppen-Geiger climate classification in Europe [14]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994140625" w:line="240" w:lineRule="auto"/>
        <w:ind w:left="1658.071975708007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2809240" cy="1983740"/>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809240" cy="198374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1331595" cy="1346835"/>
            <wp:effectExtent b="0" l="0" r="0" t="0"/>
            <wp:docPr id="26"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331595" cy="134683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7811660766602" w:lineRule="auto"/>
        <w:ind w:left="522.5278472900391" w:right="1122.48901367187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importance of embodied energy and embodied global warming potential, in relation  to the global LCA results, is indicated in Table 2. It is observed that embodied global  warming and embodied energy have a higher contribution in climatic zone Z1 than in  climatic zone Z3. In the latter, the importance of the impacts due to the use of energy  are naturally higher.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38671875"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Share of embodied GWP and embodied PE in relation to global impacts </w:t>
      </w:r>
    </w:p>
    <w:tbl>
      <w:tblPr>
        <w:tblStyle w:val="Table2"/>
        <w:tblW w:w="9073.520202636719" w:type="dxa"/>
        <w:jc w:val="left"/>
        <w:tblInd w:w="511.7519378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9201049804688"/>
        <w:gridCol w:w="707.9998779296875"/>
        <w:gridCol w:w="710.3997802734375"/>
        <w:gridCol w:w="707.9998779296875"/>
        <w:gridCol w:w="710.8001708984375"/>
        <w:gridCol w:w="707.9998779296875"/>
        <w:gridCol w:w="708.00048828125"/>
        <w:gridCol w:w="710.999755859375"/>
        <w:gridCol w:w="708.00048828125"/>
        <w:gridCol w:w="710.3997802734375"/>
        <w:tblGridChange w:id="0">
          <w:tblGrid>
            <w:gridCol w:w="2690.9201049804688"/>
            <w:gridCol w:w="707.9998779296875"/>
            <w:gridCol w:w="710.3997802734375"/>
            <w:gridCol w:w="707.9998779296875"/>
            <w:gridCol w:w="710.8001708984375"/>
            <w:gridCol w:w="707.9998779296875"/>
            <w:gridCol w:w="708.00048828125"/>
            <w:gridCol w:w="710.999755859375"/>
            <w:gridCol w:w="708.00048828125"/>
            <w:gridCol w:w="710.3997802734375"/>
          </w:tblGrid>
        </w:tblGridChange>
      </w:tblGrid>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Climatic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05712890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996582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12207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996582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0634765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004150390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0634765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0634765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994140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3945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93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HR</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Embodied Global warming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996582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Embodied energy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934082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7913208007812" w:lineRule="auto"/>
        <w:ind w:left="522.5278472900391" w:right="1117.98706054687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comparison between the different values is better illustrated in Figure 7 for the  impact category of global warming potential. It is observed that the values of embodied  global warming have not a significant variation within each climatic area and even with  the building type, although a slight increase is observed from climate area Z1 to Z3.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84619140625" w:line="244.07913208007812" w:lineRule="auto"/>
        <w:ind w:left="522.5278472900391" w:right="1120.001220703125" w:firstLine="5.17929077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On the other hand, the values for the operational carbon have a much higher variation  within each climatic area, increasing from climatic area Z1 to Z3. In terms of building  type, the values for high-rise buildings are lower than multi-family buildings and much  lower than single-family houses.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478515625" w:line="219.79200839996338" w:lineRule="auto"/>
        <w:ind w:left="547.6918792724609" w:right="1141.32080078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7.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Mean embodied and operational GWP values (in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for all buildings in the  three climatic areas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859375" w:line="243.95782470703125" w:lineRule="auto"/>
        <w:ind w:left="898.0719757080078" w:right="1575.6005859375"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272532" cy="2199005"/>
            <wp:effectExtent b="0" l="0" r="0" t="0"/>
            <wp:docPr id="21"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272532" cy="2199005"/>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3917770385742" w:lineRule="auto"/>
        <w:ind w:left="522.5278472900391" w:right="1117.82958984375" w:firstLine="7.370452880859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relation to primary energy, the comparison between the different values is illustrated  in Figure 8. Likewise, it is observed that the values of embodied primary energy have not a significant variation within each climatic area and building type, although slightly higher  values are found for climatic area Z3. On the other hand, the values for the operational  primary energy have a much higher variation within each climatic area, increasing from  Z1 to Z3, and building type.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14794921875" w:line="240" w:lineRule="auto"/>
        <w:ind w:left="2842.6119232177734"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8.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values (in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MJ/m</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for all building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1357421875" w:line="240" w:lineRule="auto"/>
        <w:ind w:left="898.071975708007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269865" cy="2314575"/>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26986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1305656433105" w:lineRule="auto"/>
        <w:ind w:left="519.1414642333984" w:right="1122.236328125" w:hanging="3.984069824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As observed from the previous example, the climatic region where the building is located  has a huge influence in the operational energy of the building and related impacts. Thus,  benchmarks for the global performance of buildings should not neglect this important  factor.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361572265625" w:line="243.2768440246582" w:lineRule="auto"/>
        <w:ind w:left="522.5278472900391" w:right="1127.60009765625" w:firstLine="13.54568481445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However, its influence in terms of embodied impacts is reduced, particularly when only  the structural system of the building is considered, which is the case in this project.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3232421875" w:line="240" w:lineRule="auto"/>
        <w:ind w:left="536.423873901367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2.3.4 Vulnerability to climatic changes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6611328125" w:line="243.27627182006836" w:lineRule="auto"/>
        <w:ind w:left="522.5278472900391" w:right="1116.81396484375" w:firstLine="5.179290771484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Climate changes due to the increased anthropogenic greenhouse gas concentrations in  the atmosphere will have significant detrimental effects on buildings and infrastructures.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2578125" w:line="240.97535133361816" w:lineRule="auto"/>
        <w:ind w:left="522.5278472900391" w:right="1117.23388671875" w:firstLine="13.5456848144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Moreover, today we have to face a sad reality: most aspects of climate change will  persist for many centuries even if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emissions are stopped [15]. Thus, the adaptation  of existing buildings and the design of new buildings, mainly in vulnerable areas, has to  tackle higher structural and functional demands due to the consequences of climate  change, both extreme events and longer-term processes.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1396484375" w:line="243.87811660766602" w:lineRule="auto"/>
        <w:ind w:left="522.5278472900391" w:right="1118.966064453125" w:firstLine="13.54568481445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For instance, coastal areas are the most vulnerable locations in the case of sea rise,  which is one of major and inevitable consequences of climate change according to the 5</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th</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report from the IPCC [15]. It is estimated that the level of the sea will rise by an average  value of 0.52 m by the end of this century compared with values of today. Although  inundations of low-lying areas by the sea rise, over the 21</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st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century, will be a problem,  the most devastating impacts are likely to be associated with changes in extreme sea  levels resulting from storms, which are expected to become more intense. The estimated  multiplication factor, by which the frequency of flooding events increases for a mean sea  level rise of 0.5 m, is represented in Figure 9 [15].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44775390625" w:line="238.72804641723633" w:lineRule="auto"/>
        <w:ind w:left="526.7110443115234" w:right="1119.76806640625" w:firstLine="0.9960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On the other side, variations in temperature, humidity and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concentrations may affect  directly or indirectly the long-term performance of concrete structures due to enhanced  corrosion induced by increased rates of carbonation and chlorination.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2130737304688" w:line="240" w:lineRule="auto"/>
        <w:ind w:left="4952.963180541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2954730987549" w:lineRule="auto"/>
        <w:ind w:left="1488.411865234375" w:right="2139.9005126953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9.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Frequency of flooding events for a mean sea level rise of 0.5 m [15]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3562096" cy="1810385"/>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562096" cy="181038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522.5278472900391" w:right="1117.9638671875" w:firstLine="6.97204589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Some studies available in the literature suggest that, in most vulnerable locations,  concrete structures designed according to current regulations will experience carbonation  and chlorination depths that are beyond the cover thickness currently recommended by  the codes, thus requiring extensive repairs [16][17][18], as illustrated in Figure 10, for a  concrete building located in the metropolitan area of Boston [18].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158203125" w:line="242.56922721862793" w:lineRule="auto"/>
        <w:ind w:left="578.8918304443359" w:right="1178.85986328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10.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Estimated carbonation depth for a building in Boston constructed in 2000, according to  different climatic scenarios (extracted from [18])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136962890625" w:line="240" w:lineRule="auto"/>
        <w:ind w:left="2513.0721282958984"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3225673" cy="220853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225673" cy="220853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6025619506836" w:lineRule="auto"/>
        <w:ind w:left="516.5518951416016" w:right="1116.680908203125" w:firstLine="19.52163696289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However, currently, there is a high level of uncertainties in future climatic scenarios and  the relation between the effects of climate change on the degradation of materials and  structures is hard to be established with an acceptable level of reliability [19][20].  Therefore, in this project, the quantification of benchmarks will not take into account the  vulnerability of buildings to climatic changes. Nevertheless, it is highlighted that this may  become a differentiate factor for benchmarks in the near future.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3143920898438" w:line="240" w:lineRule="auto"/>
        <w:ind w:left="4952.963180541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18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1774749755859" w:right="0" w:firstLine="0"/>
        <w:jc w:val="left"/>
        <w:rPr>
          <w:rFonts w:ascii="Verdana" w:cs="Verdana" w:eastAsia="Verdana" w:hAnsi="Verdan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5.920000076293945"/>
          <w:szCs w:val="25.920000076293945"/>
          <w:u w:val="none"/>
          <w:shd w:fill="auto" w:val="clear"/>
          <w:vertAlign w:val="baseline"/>
          <w:rtl w:val="0"/>
        </w:rPr>
        <w:t xml:space="preserve">3 Benchmarks from literature review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2646484375" w:line="244.47978973388672" w:lineRule="auto"/>
        <w:ind w:left="526.9103240966797" w:right="1127.001953125" w:firstLine="9.1632080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Before the attempt to establish a preliminary set of reference values, an extensive  literature review was carried out, in order to collect reference values for the  environmental assessment of buildings.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3.27552795410156" w:lineRule="auto"/>
        <w:ind w:left="523.1255340576172" w:right="1122.59765625" w:hanging="3.98406982421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Although values are available in the literature for different building typologies, in the  following, the focus will be on residential and office buildings.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435546875" w:line="240" w:lineRule="auto"/>
        <w:ind w:left="516.551895141601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values are organized according to the following: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240" w:lineRule="auto"/>
        <w:ind w:left="886.910324096679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Reference values for embodied impacts and global impacts;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0" w:lineRule="auto"/>
        <w:ind w:left="886.910324096679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Reference values according to different building typologies;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886.9103240966797"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Reference values according to different structural systems.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33447265625" w:line="240" w:lineRule="auto"/>
        <w:ind w:left="532.8719329833984"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3.1 Embodied </w:t>
      </w:r>
      <w:r w:rsidDel="00000000" w:rsidR="00000000" w:rsidRPr="00000000">
        <w:rPr>
          <w:rFonts w:ascii="Verdana" w:cs="Verdana" w:eastAsia="Verdana" w:hAnsi="Verdana"/>
          <w:b w:val="1"/>
          <w:bCs w:val="1"/>
          <w:i w:val="1"/>
          <w:iCs w:val="1"/>
          <w:smallCaps w:val="0"/>
          <w:strike w:val="0"/>
          <w:color w:val="000000"/>
          <w:sz w:val="24"/>
          <w:szCs w:val="24"/>
          <w:u w:val="none"/>
          <w:shd w:fill="auto" w:val="clear"/>
          <w:vertAlign w:val="baseline"/>
          <w:rtl w:val="0"/>
        </w:rPr>
        <w:t xml:space="preserve">vs</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global values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3.75746726989746" w:lineRule="auto"/>
        <w:ind w:left="526.7110443115234" w:right="1116.28173828125" w:firstLine="9.36248779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Most reference values found in the literature are referring to the operational stage of  buildings, thus referring to the energy needed for heating and cooling the building, over  its service life. In a review made by Peng et al. [21], based in more than 100 buildings  across different countries, the life cycle energy consumption of residential and  commercial buildings is in the range of 40-400 kwh/m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and 120 - 550 kwh/m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respectively. For life cycle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emissions the values are 50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and 30 -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9113121032715" w:lineRule="auto"/>
        <w:ind w:left="526.9103240966797" w:right="1122.567138671875" w:firstLine="5.378417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230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respectively for residential and commercial buildings. The share of  embodied energy and embodied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emissions in these global values, is up to 80% for  residential buildings and about 20% for commercial buildings.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1083984375" w:line="240.00054359436035" w:lineRule="auto"/>
        <w:ind w:left="522.5278472900391" w:right="1116.80419921875" w:firstLine="7.3704528808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another study [22], the assessment of buildings with different typologies was carried  out for different indicators and for two life spans: 50 years and 100 years. In this study,  the values are normalized by the net floor area of each building. In terms of the global  performance of buildings, the life cycle primary energy is in the range of 170-380  kwh/m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with a median value of 210 kwh/m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for a life span of 50 years. For a life  span of 100 years, the median value is reduced to 200 kwh/m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For life cycle GHG  emissions and a life span of 50 years, the range is 15-23.5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with a  median value of 19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In this case, for a life span of 100 years, the  median value is reduced to 10.5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The shares of embodied impacts are  about 25% for primary energy and about 55% for GHG emissions.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88037109375" w:line="244.1795825958252" w:lineRule="auto"/>
        <w:ind w:left="522.5278472900391" w:right="1116.68334960937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share of embodied impacts in relation to life cycle impacts, depends not only of the  type of building but also on the options taken for the design. For instance, in terms of  energy consumption, buildings that are designed to be energy efficient tend to have a  higher share of embodied energy in relation to the whole energy. In a review performed  by Sartori and Hestnes [23], the share of embodied energy in conventional buildings was  in the range of 2% - 38%, while, in ‘low-energy’ buildings the share ranged between 9%  - 46%.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6463623046875" w:line="240" w:lineRule="auto"/>
        <w:ind w:left="532.8719329833984"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3.2 Buildings with different typologies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3.27587127685547" w:lineRule="auto"/>
        <w:ind w:left="519.1414642333984" w:right="1117.18505859375" w:hanging="3.38638305664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As already indicated in the previous sub-section, the building typology has a strong  influence in the life cycle performance of the building and consequently, in the reference  values obtained for each type of building.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56298828125" w:line="243.27618598937988" w:lineRule="auto"/>
        <w:ind w:left="522.5278472900391" w:right="1126.800537109375" w:firstLine="7.370452880859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the following paragraphs, reference values are provided for different building  typologies.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0" w:lineRule="auto"/>
        <w:ind w:left="531.5662384033203"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3.2.1 French survey from HQE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644653320312" w:line="243.27624320983887" w:lineRule="auto"/>
        <w:ind w:left="533.6830902099609" w:right="1119.3994140625" w:hanging="3.7847900390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a statistical analysis made by the French Association HQE and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Centre Scientifique et  Technique du batiment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(CSTB) [22], the performance of 63 buildings was carried out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142639160156" w:line="240" w:lineRule="auto"/>
        <w:ind w:left="4952.963180541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19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534.4799041748047" w:right="1117.879638671875"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based on an approach developed by HQE for the assessment of the environmental  performance buildings.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6064453125" w:line="244.47978973388672" w:lineRule="auto"/>
        <w:ind w:left="522.5278472900391" w:right="1123.2739257812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Three types of buildings were considered: individual houses (MI), collective buildings (IC)  and office buildings (BB). The analysis took into account two time frames: 50 and 100  years.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3.87765884399414" w:lineRule="auto"/>
        <w:ind w:left="526.7110443115234" w:right="1117.3327636718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results for Primary Energy and Climate Change are indicated in Table 3, taking into  account the global performance of the buildings (including the values related to  operational energy consumption). The values in bold are the median values and the  minimum and maximum values correspond to the 1</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st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and 3</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rd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quartiles, respectively. In all  cases, the values are normalized by the net floor area.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5087890625"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3.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Global results of life cycle analysis for a time period of 50 years [22] </w:t>
      </w:r>
    </w:p>
    <w:tbl>
      <w:tblPr>
        <w:tblStyle w:val="Table3"/>
        <w:tblW w:w="8929.519500732422" w:type="dxa"/>
        <w:jc w:val="left"/>
        <w:tblInd w:w="583.751907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5.7200622558594"/>
        <w:gridCol w:w="3218.800048828125"/>
        <w:gridCol w:w="3434.9993896484375"/>
        <w:tblGridChange w:id="0">
          <w:tblGrid>
            <w:gridCol w:w="2275.7200622558594"/>
            <w:gridCol w:w="3218.800048828125"/>
            <w:gridCol w:w="3434.9993896484375"/>
          </w:tblGrid>
        </w:tblGridChange>
      </w:tblGrid>
      <w:tr>
        <w:trPr>
          <w:cantSplit w:val="0"/>
          <w:trHeight w:val="28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Type of building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Primary energy (kwh/m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Climate change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 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300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205-</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225</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21.5-</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23</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-26</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180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15</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-18</w:t>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526.7110443115234" w:right="1127.39990234375" w:firstLine="0.9960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Office buildings have a higher value for primary energy in relation to other buildings;  although for climate change, the value for collective buildings is slightly higher. In all  cases, the range of values is significant.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3.27627182006836" w:lineRule="auto"/>
        <w:ind w:left="526.9103240966797" w:right="1121.2890625" w:hanging="10.358428955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Taking into account only the building component of ‘construction products and  equipment’, the results are indicated in Table 4. In this case, office buildings present the  higher values, both for primary energy and climate change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42578125" w:line="243.013916015625" w:lineRule="auto"/>
        <w:ind w:left="883.5118865966797" w:right="1133.436279296875" w:hanging="363.3599853515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4.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Results of life cycle analysis for ‘Construction products and equipment’, for a time period  of 50 years [22] </w:t>
      </w:r>
    </w:p>
    <w:tbl>
      <w:tblPr>
        <w:tblStyle w:val="Table4"/>
        <w:tblW w:w="8929.519500732422" w:type="dxa"/>
        <w:jc w:val="left"/>
        <w:tblInd w:w="583.751907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5.7200622558594"/>
        <w:gridCol w:w="3218.800048828125"/>
        <w:gridCol w:w="3434.9993896484375"/>
        <w:tblGridChange w:id="0">
          <w:tblGrid>
            <w:gridCol w:w="2275.7200622558594"/>
            <w:gridCol w:w="3218.800048828125"/>
            <w:gridCol w:w="3434.99938964843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Type of building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Primary energy (kwh/m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Climate change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 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53-</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62.8</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13</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45-</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49.7</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8.5-</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10.5</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44-</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51.4</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8.4</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7930374145508" w:lineRule="auto"/>
        <w:ind w:left="526.7110443115234" w:right="1119.2089843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building component of ‘Construction products and equipment’ was further divided  into: (i) main construction works, which included accesses and general infrastructure (Lot  1), foundations of sub-structure (Lot 2) and superstructure (Lot 3); (ii) secondary  construction works and (iii) equipment.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7851562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Focussing on the structural system (lots 2 and 3), the results are indicated in Table 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33447265625"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5.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Results of life cycle analysis for the structural system, for a time period of 50 years </w:t>
      </w:r>
    </w:p>
    <w:tbl>
      <w:tblPr>
        <w:tblStyle w:val="Table5"/>
        <w:tblW w:w="8785.52001953125" w:type="dxa"/>
        <w:jc w:val="left"/>
        <w:tblInd w:w="655.751876831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7202758789062"/>
        <w:gridCol w:w="991.7996215820312"/>
        <w:gridCol w:w="2700.400390625"/>
        <w:gridCol w:w="3396.5997314453125"/>
        <w:tblGridChange w:id="0">
          <w:tblGrid>
            <w:gridCol w:w="1696.7202758789062"/>
            <w:gridCol w:w="991.7996215820312"/>
            <w:gridCol w:w="2700.400390625"/>
            <w:gridCol w:w="3396.599731445312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Type of building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Primary energy (kwh/m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Climate change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 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w:t>
            </w:r>
          </w:p>
        </w:tc>
      </w:tr>
      <w:tr>
        <w:trPr>
          <w:cantSplit w:val="0"/>
          <w:trHeight w:val="2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Lot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2.66</w:t>
            </w:r>
          </w:p>
        </w:tc>
      </w:tr>
      <w:tr>
        <w:trPr>
          <w:cantSplit w:val="0"/>
          <w:trHeight w:val="283.200378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Lot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3.88</w:t>
            </w:r>
          </w:p>
        </w:tc>
      </w:tr>
      <w:tr>
        <w:trPr>
          <w:cantSplit w:val="0"/>
          <w:trHeight w:val="285.5996704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Lot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1.41</w:t>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Lot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3.87</w:t>
            </w:r>
          </w:p>
        </w:tc>
      </w:tr>
      <w:tr>
        <w:trPr>
          <w:cantSplit w:val="0"/>
          <w:trHeight w:val="283.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Lot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1.04</w:t>
            </w:r>
          </w:p>
        </w:tc>
      </w:tr>
      <w:tr>
        <w:trPr>
          <w:cantSplit w:val="0"/>
          <w:trHeight w:val="285.6002807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Lot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2.00</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526.9103240966797" w:right="1116.9873046875" w:hanging="10.358428955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weight of the performance of the structural system in relation to ‘construction  products and equipment’ and to the complete the building, are highlighted in Table 6, for  each building typology.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483764648438" w:line="243.27624320983887" w:lineRule="auto"/>
        <w:ind w:left="533.4839630126953" w:right="1122.564697265625" w:hanging="3.5856628417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relation to the performance of the global building, the weight of the structural system  is below 10% for the environmental category of ‘primary energy’, for all buildings, but it  is higher than 20% for ‘climatic change’ for IC and MI and higher than 30% for BB.</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14208984375" w:line="240" w:lineRule="auto"/>
        <w:ind w:left="4941.60881042480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7876014709473" w:lineRule="auto"/>
        <w:ind w:left="526.7110443115234" w:right="1117.39013671875" w:firstLine="9.36248779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Naturally, the importance of the structural system to the component ‘Construction  products and equipment’ increases. In this case, for primary energy, IC has the highest  contribution with 31% and MI the lowest with 22%. In relation to ‘climatic change’, the  minimum and maximum shares are 36% for MI and 50% for the other typologies.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4775390625" w:line="242.57057189941406" w:lineRule="auto"/>
        <w:ind w:left="883.5118865966797" w:right="1132.178955078125" w:hanging="363.3599853515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6.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Importance of the structure (lots 2 and 3) in relation to ‘construction products and  equipment’ and global building [22] </w:t>
      </w:r>
    </w:p>
    <w:tbl>
      <w:tblPr>
        <w:tblStyle w:val="Table6"/>
        <w:tblW w:w="9068.719940185547" w:type="dxa"/>
        <w:jc w:val="left"/>
        <w:tblInd w:w="403.751907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7.9200744628906"/>
        <w:gridCol w:w="2268.599853515625"/>
        <w:gridCol w:w="1702.0004272460938"/>
        <w:gridCol w:w="2299.1998291015625"/>
        <w:gridCol w:w="1670.999755859375"/>
        <w:tblGridChange w:id="0">
          <w:tblGrid>
            <w:gridCol w:w="1127.9200744628906"/>
            <w:gridCol w:w="2268.599853515625"/>
            <w:gridCol w:w="1702.0004272460938"/>
            <w:gridCol w:w="2299.1998291015625"/>
            <w:gridCol w:w="1670.999755859375"/>
          </w:tblGrid>
        </w:tblGridChange>
      </w:tblGrid>
      <w:tr>
        <w:trPr>
          <w:cantSplit w:val="0"/>
          <w:trHeight w:val="278.4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Primary energy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Climatic change</w:t>
            </w:r>
          </w:p>
        </w:tc>
      </w:tr>
      <w:tr>
        <w:trPr>
          <w:cantSplit w:val="0"/>
          <w:trHeight w:val="547.1984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65.71533203125" w:right="91.9775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construction products  and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global building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80.11474609375" w:right="108.92150878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construction products  and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global building</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w:t>
            </w:r>
          </w:p>
        </w:tc>
      </w:tr>
      <w:tr>
        <w:trPr>
          <w:cantSplit w:val="0"/>
          <w:trHeight w:val="2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w:t>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7835960388184" w:lineRule="auto"/>
        <w:ind w:left="526.7110443115234" w:right="1124.09667968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results indicated above are referring to a life span of 50 years. However, the  conclusions for a life span of 100 years are similar to the ones obtained for the time span  of 50 years, with slight reductions found for the global performance of the building:  about -5% for ‘primary energy’ and about -15% for ‘climatic change’.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9072265625" w:line="244.48041915893555" w:lineRule="auto"/>
        <w:ind w:left="522.5278472900391" w:right="1118.58520507812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influence of different construction systems is indicated in Table 7, taking into account  the environmental indicator of ‘primary energy – non-renewable energy’ and the building  component of ‘construction products and equipment’.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39892578125"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7.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Results for different construction systems – non-renewable energy (in kwh/m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[22] </w:t>
      </w:r>
    </w:p>
    <w:tbl>
      <w:tblPr>
        <w:tblStyle w:val="Table7"/>
        <w:tblW w:w="9063.920135498047" w:type="dxa"/>
        <w:jc w:val="left"/>
        <w:tblInd w:w="403.751907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5198669433594"/>
        <w:gridCol w:w="2266.2005615234375"/>
        <w:gridCol w:w="2265.999755859375"/>
        <w:gridCol w:w="2266.199951171875"/>
        <w:tblGridChange w:id="0">
          <w:tblGrid>
            <w:gridCol w:w="2265.5198669433594"/>
            <w:gridCol w:w="2266.2005615234375"/>
            <w:gridCol w:w="2265.999755859375"/>
            <w:gridCol w:w="2266.1999511718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BB</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Clay brick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36</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Concrete 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-42.5</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Cellular concrete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Reinforced concrete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49</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w:t>
            </w:r>
          </w:p>
        </w:tc>
      </w:tr>
      <w:tr>
        <w:trPr>
          <w:cantSplit w:val="0"/>
          <w:trHeight w:val="27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Wood/concrete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38</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Steel/concrete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64239501953" w:lineRule="auto"/>
        <w:ind w:left="526.7110443115234" w:right="1126.6064453125" w:firstLine="9.362487792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However, when only the building component of ‘construction products and equipment’ is  considered, no significant differences were found between the construction systems.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0" w:lineRule="auto"/>
        <w:ind w:left="531.5662384033203"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3.2.2 Annex 57 (International Energy Agency)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6513671875" w:line="243.27655792236328" w:lineRule="auto"/>
        <w:ind w:left="526.9103240966797" w:right="1126.60400390625" w:firstLine="2.987976074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a different survey, this time performed by the International Energy Agency, about 80  buildings from different countries, were evaluated in terms of the embodied energy and  embodied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4013671875" w:line="243.2760715484619" w:lineRule="auto"/>
        <w:ind w:left="527.1094512939453" w:right="1126.204833984375" w:firstLine="0.5976867675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Contrary to the previous survey, the results of this survey are not truly comparable as  most of the collected case studies were analysed based on different methodologies,  databases and system settings, thus leading to some inconsistencies in the results.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2578125" w:line="243.8782024383545" w:lineRule="auto"/>
        <w:ind w:left="516.5518951416016" w:right="1117.0849609375" w:hanging="2.5895690917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results of the case studies are indicated in Figure 11 and Figure 12, for embodied  carbon and embodied energy, respectively. It is noticed that some of the case studies are  referring to refurbishment. The scope of the analysis included production (Modules A1- A3), replacements over the service life of the building (Module B4) and end-of-life  (Modules C3-C4).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478271484375" w:line="244.0789031982422" w:lineRule="auto"/>
        <w:ind w:left="526.7110443115234" w:right="1118.08837890625" w:firstLine="3.1872558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relation to embodied carbon, the production stage is dominant for all case studies  referring to new buildings; in the case of refurbishment, the contribution of the  production stage is, in some cases, similar to the contribution of the replacements. The  contribution of the end-of-life stage varies from 5% to 25%.</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481750488281" w:line="240" w:lineRule="auto"/>
        <w:ind w:left="4941.60881042480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2954730987549" w:lineRule="auto"/>
        <w:ind w:left="1162.671890258789" w:right="1833.200683593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11.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Embodied carbon from Annex 57 case studies (extracted from [24])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4940935" cy="2365248"/>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940935" cy="2365248"/>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7794494628906" w:lineRule="auto"/>
        <w:ind w:left="526.7110443115234" w:right="1120.9753417968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degree to each different methodological options may influence the results of the  analysis is observed from Figure 11. In this case, the result of a case study from Japan  (JP5) is higher than the remaining cases studies and this is not only due to additional  seismic requirements but also because an input-output approach was considered, which  usually generates higher results due to wider boundaries.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56982421875" w:line="372.51734733581543" w:lineRule="auto"/>
        <w:ind w:left="1433.2119750976562" w:right="2025.841064453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Embodied energy from Annex 57 case studies (extracted from [24])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3995420" cy="2209673"/>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995420" cy="2209673"/>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16276550293" w:lineRule="auto"/>
        <w:ind w:left="522.5278472900391" w:right="1120.92529296875" w:firstLine="7.3704528808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relation to embodied energy (see Figure 12), similar conclusions may be drawn,  except in relation to the contribution of the end-of-life stage, which is this case is lower  than 10%.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651611328125" w:line="240" w:lineRule="auto"/>
        <w:ind w:left="531.5662384033203"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3.2.3 Summary of the values for building typologies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630615234375" w:line="244.48030471801758" w:lineRule="auto"/>
        <w:ind w:left="527.3087310791016" w:right="1120.48095703125" w:firstLine="8.76480102539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Reference values for embodied carbon and embodied energy, found in the literature for  residential and office buildings, are summarized in Table 8. It is noted that some of the  sources indicated in the table, provide values also for other building typologies.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90478515625" w:line="244.02159690856934" w:lineRule="auto"/>
        <w:ind w:left="526.7110443115234" w:right="1117.313232421875" w:hanging="7.569580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As already stressed out, these values are not comparable, not only due to different  methodological choices but also due to the lack of information in some of the reviewed  sources, which naturally increases the inconsistency of the values. For instance, in many  cases the results are normalized by the area of the building but no information is given  about the type of area considered (e.g., net floor area - NFA or gross floor area - GFA).  Likewise, the scope of the analysis and the building components considered in the  analysis are often not clear (e.g., cradle-to-gate - C2Gt or cradle-to-grave - C2G). In  cases no information was provided, this is indicated in Table 8 by ‘n.a’.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95703125" w:line="240" w:lineRule="auto"/>
        <w:ind w:left="4941.60881042480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522.5278472900391" w:right="1119.375" w:firstLine="13.5456848144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Nevertheless, the aim of the following table is to show the huge variability of the values  that are currently found in the literature in relation to residential and office buildings,  which do not enable to establish a trend between residential and office buildings.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4599609375"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8.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Reference values according to different building typologies </w:t>
      </w:r>
    </w:p>
    <w:tbl>
      <w:tblPr>
        <w:tblStyle w:val="Table8"/>
        <w:tblW w:w="9073.520202636719" w:type="dxa"/>
        <w:jc w:val="left"/>
        <w:tblInd w:w="511.751937866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1.1199951171875"/>
        <w:gridCol w:w="600"/>
        <w:gridCol w:w="665.3997802734375"/>
        <w:gridCol w:w="672.0001220703125"/>
        <w:gridCol w:w="2220.4000854492188"/>
        <w:gridCol w:w="1699.1998291015625"/>
        <w:gridCol w:w="1577.39990234375"/>
        <w:gridCol w:w="528.00048828125"/>
        <w:tblGridChange w:id="0">
          <w:tblGrid>
            <w:gridCol w:w="1111.1199951171875"/>
            <w:gridCol w:w="600"/>
            <w:gridCol w:w="665.3997802734375"/>
            <w:gridCol w:w="672.0001220703125"/>
            <w:gridCol w:w="2220.4000854492188"/>
            <w:gridCol w:w="1699.1998291015625"/>
            <w:gridCol w:w="1577.39990234375"/>
            <w:gridCol w:w="528.00048828125"/>
          </w:tblGrid>
        </w:tblGridChange>
      </w:tblGrid>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9951171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Sub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7.39990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990478515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35.83984375" w:right="90.360107421875" w:firstLine="47.3999023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Embodied GWP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35925292968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Embodied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energy (MJ/m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990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Ref.</w:t>
            </w:r>
          </w:p>
        </w:tc>
      </w:tr>
      <w:tr>
        <w:trPr>
          <w:cantSplit w:val="0"/>
          <w:trHeight w:val="285.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78825378418" w:lineRule="auto"/>
              <w:ind w:left="28.199920654296875" w:right="47.92022705078125" w:firstLine="1.439971923828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Residential  buildings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435-1162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2817-7837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[21]</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243-</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267</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w:t>
            </w:r>
          </w:p>
        </w:tc>
      </w:tr>
      <w:tr>
        <w:trPr>
          <w:cantSplit w:val="0"/>
          <w:trHeight w:val="2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w:t>
            </w:r>
            <w:r w:rsidDel="00000000" w:rsidR="00000000" w:rsidRPr="00000000">
              <w:rPr>
                <w:rFonts w:ascii="Verdana" w:cs="Verdana" w:eastAsia="Verdana" w:hAnsi="Verdana"/>
                <w:b w:val="0"/>
                <w:bCs w:val="0"/>
                <w:i w:val="0"/>
                <w:iCs w:val="0"/>
                <w:smallCaps w:val="0"/>
                <w:strike w:val="0"/>
                <w:color w:val="000000"/>
                <w:sz w:val="12"/>
                <w:szCs w:val="12"/>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131-</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159</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w:t>
            </w:r>
            <w:r w:rsidDel="00000000" w:rsidR="00000000" w:rsidRPr="00000000">
              <w:rPr>
                <w:rFonts w:ascii="Verdana" w:cs="Verdana" w:eastAsia="Verdana" w:hAnsi="Verdana"/>
                <w:b w:val="0"/>
                <w:bCs w:val="0"/>
                <w:i w:val="0"/>
                <w:iCs w:val="0"/>
                <w:smallCaps w:val="0"/>
                <w:strike w:val="0"/>
                <w:color w:val="000000"/>
                <w:sz w:val="12"/>
                <w:szCs w:val="12"/>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168</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w:t>
            </w:r>
            <w:r w:rsidDel="00000000" w:rsidR="00000000" w:rsidRPr="00000000">
              <w:rPr>
                <w:rFonts w:ascii="Verdana" w:cs="Verdana" w:eastAsia="Verdana" w:hAnsi="Verdana"/>
                <w:b w:val="0"/>
                <w:bCs w:val="0"/>
                <w:i w:val="0"/>
                <w:iCs w:val="0"/>
                <w:smallCaps w:val="0"/>
                <w:strike w:val="0"/>
                <w:color w:val="000000"/>
                <w:sz w:val="12"/>
                <w:szCs w:val="12"/>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206-</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257</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6.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164-173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[26]</w:t>
            </w:r>
          </w:p>
        </w:tc>
      </w:tr>
      <w:tr>
        <w:trPr>
          <w:cantSplit w:val="0"/>
          <w:trHeight w:val="50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123.24005126953125" w:right="29.5001220703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and  repair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176-186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[27]</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[27]</w:t>
            </w:r>
          </w:p>
        </w:tc>
      </w:tr>
      <w:tr>
        <w:trPr>
          <w:cantSplit w:val="0"/>
          <w:trHeight w:val="50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78825378418" w:lineRule="auto"/>
              <w:ind w:left="224.04022216796875" w:right="130.479736328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&amp;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25-515</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[28]</w:t>
            </w:r>
          </w:p>
        </w:tc>
      </w:tr>
      <w:tr>
        <w:trPr>
          <w:cantSplit w:val="0"/>
          <w:trHeight w:val="50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08416748047" w:lineRule="auto"/>
              <w:ind w:left="224.04022216796875" w:right="130.479736328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&amp;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79-126</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[28]</w:t>
            </w:r>
          </w:p>
        </w:tc>
      </w:tr>
      <w:tr>
        <w:trPr>
          <w:cantSplit w:val="0"/>
          <w:trHeight w:val="50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224.04022216796875" w:right="130.479736328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&amp;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300-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420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-500</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7920-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9252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10440</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w:t>
            </w:r>
          </w:p>
        </w:tc>
      </w:tr>
      <w:tr>
        <w:trPr>
          <w:cantSplit w:val="0"/>
          <w:trHeight w:val="50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224.04022216796875" w:right="130.059814453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&amp;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425-</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525</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-600</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8100-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8946</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10800</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w:t>
            </w:r>
          </w:p>
        </w:tc>
      </w:tr>
      <w:tr>
        <w:trPr>
          <w:cantSplit w:val="0"/>
          <w:trHeight w:val="28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992553710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Office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28.19992065429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731-1053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5540-7157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[21]</w:t>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227-</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330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w:t>
            </w:r>
          </w:p>
        </w:tc>
      </w:tr>
      <w:tr>
        <w:trPr>
          <w:cantSplit w:val="0"/>
          <w:trHeight w:val="283.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[27]</w:t>
            </w:r>
          </w:p>
        </w:tc>
      </w:tr>
      <w:tr>
        <w:trPr>
          <w:cantSplit w:val="0"/>
          <w:trHeight w:val="50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224.04022216796875" w:right="130.479736328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&amp;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119-500</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[28]</w:t>
            </w:r>
          </w:p>
        </w:tc>
      </w:tr>
      <w:tr>
        <w:trPr>
          <w:cantSplit w:val="0"/>
          <w:trHeight w:val="50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224.04022216796875" w:right="130.479736328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&amp;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843-1033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7743-11939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[29]</w:t>
            </w:r>
          </w:p>
        </w:tc>
      </w:tr>
      <w:tr>
        <w:trPr>
          <w:cantSplit w:val="0"/>
          <w:trHeight w:val="5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224.04022216796875" w:right="130.479736328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&amp;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550-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650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-800</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73.0999755859375" w:right="153.4796142578125"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9540-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11304</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- 14040</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4222869873047"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values are given in MJ/m</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.yr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525.4222869873047"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values were multiplied by 50 years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525.4222869873047"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values were converted to MJ and multiplied by 50 years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454833984375" w:line="240" w:lineRule="auto"/>
        <w:ind w:left="532.8719329833984"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3.3 Buildings with different structural systems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4.0788745880127" w:lineRule="auto"/>
        <w:ind w:left="526.9103240966797" w:right="1117.35107421875" w:hanging="10.358428955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importance of the structural system of a building in relation to the global  environmental performance of a building is considered to be small by some authors.  However, the weight of the structure accounts for the highest share of the weight of the  building, thus contributing to a significant share of impacts [30] and costs [31]. For  instance, the structural systems of office buildings may account for 60%-67% of the total  embodied energy [32]; while, the embodied carbon of structures may reach shares of  20% to 40% [22][33].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78515625" w:line="243.97868156433105" w:lineRule="auto"/>
        <w:ind w:left="516.5518951416016" w:right="1122.14111328125" w:firstLine="0"/>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structural system of a building is the main focus of the research project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EFIResources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and therefore, this sub-section summarizes reference values for embodied  carbon and embodied energy found in the literature for different structural systems.  These values are provided in Table 9. Likewise, emphasis is given only to residential and  office buildings.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8312377929688" w:line="240" w:lineRule="auto"/>
        <w:ind w:left="4941.60881042480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23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533.4839630126953" w:right="1119.7900390625" w:hanging="3.5856628417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It is noticed once again that the following values are not truly comparable as they are  based on different methodological choices and, in some cases, information about  important parameters is omitted in the reviewed sources.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4599609375"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9.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Reference values according to different structural systems  </w:t>
      </w:r>
    </w:p>
    <w:tbl>
      <w:tblPr>
        <w:tblStyle w:val="Table9"/>
        <w:tblW w:w="8910.31997680664" w:type="dxa"/>
        <w:jc w:val="left"/>
        <w:tblInd w:w="593.3518218994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7200927734375"/>
        <w:gridCol w:w="883.1999206542969"/>
        <w:gridCol w:w="538.2003784179688"/>
        <w:gridCol w:w="693.599853515625"/>
        <w:gridCol w:w="2143.599853515625"/>
        <w:gridCol w:w="1521.600341796875"/>
        <w:gridCol w:w="1586.99951171875"/>
        <w:gridCol w:w="554.4000244140625"/>
        <w:tblGridChange w:id="0">
          <w:tblGrid>
            <w:gridCol w:w="988.7200927734375"/>
            <w:gridCol w:w="883.1999206542969"/>
            <w:gridCol w:w="538.2003784179688"/>
            <w:gridCol w:w="693.599853515625"/>
            <w:gridCol w:w="2143.599853515625"/>
            <w:gridCol w:w="1521.600341796875"/>
            <w:gridCol w:w="1586.99951171875"/>
            <w:gridCol w:w="554.4000244140625"/>
          </w:tblGrid>
        </w:tblGridChange>
      </w:tblGrid>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5" w:right="86.099853515625" w:firstLine="12.240142822265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0209960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44.639892578125" w:right="3.9605712890625" w:firstLine="47.3999023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Embodied GWP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75976562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Embodied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energy (MJ/m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98925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Ref.</w:t>
            </w:r>
          </w:p>
        </w:tc>
      </w:tr>
      <w:tr>
        <w:trPr>
          <w:cantSplit w:val="0"/>
          <w:trHeight w:val="285.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9951171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various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229-</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385</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 foundation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473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[29]</w:t>
            </w:r>
          </w:p>
        </w:tc>
      </w:tr>
      <w:tr>
        <w:trPr>
          <w:cantSplit w:val="0"/>
          <w:trHeight w:val="2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152-209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[34]</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[35]</w:t>
            </w:r>
          </w:p>
        </w:tc>
      </w:tr>
      <w:tr>
        <w:trPr>
          <w:cantSplit w:val="0"/>
          <w:trHeight w:val="28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[36]</w:t>
            </w:r>
          </w:p>
        </w:tc>
      </w:tr>
      <w:tr>
        <w:trPr>
          <w:cantSplit w:val="0"/>
          <w:trHeight w:val="286.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[37]</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530-550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5595-5770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[31]</w:t>
            </w:r>
          </w:p>
        </w:tc>
      </w:tr>
      <w:tr>
        <w:trPr>
          <w:cantSplit w:val="0"/>
          <w:trHeight w:val="28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22.079925537109375" w:right="-46.039581298828125" w:firstLine="7.56011962890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Reinforced Concrete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various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277-</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361</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 foundation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497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4366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[29]</w:t>
            </w:r>
          </w:p>
        </w:tc>
      </w:tr>
      <w:tr>
        <w:trPr>
          <w:cantSplit w:val="0"/>
          <w:trHeight w:val="2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All 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[38]</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159-242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[34]</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390-410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4090-4321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[31]</w:t>
            </w:r>
          </w:p>
        </w:tc>
      </w:tr>
      <w:tr>
        <w:trPr>
          <w:cantSplit w:val="0"/>
          <w:trHeight w:val="2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[35]</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[36]</w:t>
            </w:r>
          </w:p>
        </w:tc>
      </w:tr>
      <w:tr>
        <w:trPr>
          <w:cantSplit w:val="0"/>
          <w:trHeight w:val="2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2602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[37]</w:t>
            </w:r>
          </w:p>
        </w:tc>
      </w:tr>
      <w:tr>
        <w:trPr>
          <w:cantSplit w:val="0"/>
          <w:trHeight w:val="50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76.0400390625" w:right="87.0996093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7200-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8820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11520 </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w:t>
            </w:r>
          </w:p>
        </w:tc>
      </w:tr>
      <w:tr>
        <w:trPr>
          <w:cantSplit w:val="0"/>
          <w:trHeight w:val="50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76.0400390625" w:right="87.0996093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7020-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7200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8280 </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w:t>
            </w:r>
          </w:p>
        </w:tc>
      </w:tr>
      <w:tr>
        <w:trPr>
          <w:cantSplit w:val="0"/>
          <w:trHeight w:val="283.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994506835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various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174-</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244</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w:t>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[35]</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[36]</w:t>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[37]</w:t>
            </w:r>
          </w:p>
        </w:tc>
      </w:tr>
      <w:tr>
        <w:trPr>
          <w:cantSplit w:val="0"/>
          <w:trHeight w:val="285.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0045166015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Masonry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various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243-</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265</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w:t>
            </w:r>
          </w:p>
        </w:tc>
      </w:tr>
      <w:tr>
        <w:trPr>
          <w:cantSplit w:val="0"/>
          <w:trHeight w:val="50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76.0400390625" w:right="87.0996093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6120-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6480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6840 </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w:t>
            </w:r>
          </w:p>
        </w:tc>
      </w:tr>
      <w:tr>
        <w:trPr>
          <w:cantSplit w:val="0"/>
          <w:trHeight w:val="28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9951171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Steel &amp;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22.07992553710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various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245-</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381</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Structure + foundation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744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[29]</w:t>
            </w:r>
          </w:p>
        </w:tc>
      </w:tr>
      <w:tr>
        <w:trPr>
          <w:cantSplit w:val="0"/>
          <w:trHeight w:val="504.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27471923828" w:lineRule="auto"/>
              <w:ind w:left="176.0400390625" w:right="87.0996093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Building materials +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7740-</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7920</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9540 </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w:t>
            </w:r>
          </w:p>
        </w:tc>
      </w:tr>
    </w:tbl>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222259521484"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Based in I/O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609.4222259521484"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Only non-renewable energy is considered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63623046875" w:line="244.0788459777832" w:lineRule="auto"/>
        <w:ind w:left="526.9103240966797" w:right="1119.083251953125" w:hanging="10.358428955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Table 9 shows a huge variability for each structural system and it is not possible to  establish a trend between the different systems. Among the reasons indicated above, the  scope of the life cycle analysis is of particular importance for construction materials, as  discussed in [2]. The consideration of a cradle-to-gate (C2Gt) analysis or a cradle-to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15673828125" w:line="245.68448066711426" w:lineRule="auto"/>
        <w:ind w:left="533.4839630126953" w:right="1126.405029296875" w:hanging="6.37451171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grave (C2G) analysis has a huge influence for some materials, which obviously leads to  inconsistencies in comparative assertions.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54541015625" w:line="244.07901763916016" w:lineRule="auto"/>
        <w:ind w:left="533.4839630126953" w:right="1121.356201171875" w:hanging="16.9320678710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To illustrate this, the cradle-to-grave results for some construction materials are  indicated in Table 10, from different sources. It is noted that these values are not  representative of each material. Furthermore, it is observed that comparisons, at the  product level, are meaningless.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4778442382812" w:line="243.27624320983887" w:lineRule="auto"/>
        <w:ind w:left="527.1094512939453" w:right="1118.544921875" w:hanging="7.96798706054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As observed from Table 10, for some materials (such is the case of concrete), cradle-to gate values (Modules A1-A3) are not substantially changed when the complete life cycle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42883300781" w:line="240" w:lineRule="auto"/>
        <w:ind w:left="4941.60881042480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526.7110443115234" w:right="1127.203369140625" w:firstLine="6.772918701171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is taken into account. However, for other construction products, this is not usually the  case.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6064453125" w:line="240.21958351135254" w:lineRule="auto"/>
        <w:ind w:left="526.7110443115234" w:right="1117.529296875" w:hanging="10.159149169921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Taking into account the case of steel reinforcement indicated in Table 10, when only  cradle-to-gate values are considered, the production 1 kg of steel leads to 3.20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 However, when the complete life cycle (cradle-to-cradle) is considered than the value  of GWP is reduced to 2.21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142578125" w:line="219.18979167938232" w:lineRule="auto"/>
        <w:ind w:left="890.3517913818359" w:right="1124.520263671875" w:hanging="370.199890136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10.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Examples of GWP values (in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eq./declared unit) for different construction  materials </w:t>
      </w:r>
    </w:p>
    <w:tbl>
      <w:tblPr>
        <w:tblStyle w:val="Table10"/>
        <w:tblW w:w="9068.72055053711" w:type="dxa"/>
        <w:jc w:val="left"/>
        <w:tblInd w:w="506.951980590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5201721191406"/>
        <w:gridCol w:w="935.999755859375"/>
        <w:gridCol w:w="939.000244140625"/>
        <w:gridCol w:w="763.1997680664062"/>
        <w:gridCol w:w="1042.0001220703125"/>
        <w:gridCol w:w="1039.1998291015625"/>
        <w:gridCol w:w="753.6004638671875"/>
        <w:gridCol w:w="2410.2001953125"/>
        <w:tblGridChange w:id="0">
          <w:tblGrid>
            <w:gridCol w:w="1185.5201721191406"/>
            <w:gridCol w:w="935.999755859375"/>
            <w:gridCol w:w="939.000244140625"/>
            <w:gridCol w:w="763.1997680664062"/>
            <w:gridCol w:w="1042.0001220703125"/>
            <w:gridCol w:w="1039.1998291015625"/>
            <w:gridCol w:w="753.6004638671875"/>
            <w:gridCol w:w="2410.2001953125"/>
          </w:tblGrid>
        </w:tblGridChange>
      </w:tblGrid>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83764648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94.439697265625" w:right="-0.29968261718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Declared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A1-A3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C1-C4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Source of data</w:t>
            </w:r>
          </w:p>
        </w:tc>
      </w:tr>
      <w:tr>
        <w:trPr>
          <w:cantSplit w:val="0"/>
          <w:trHeight w:val="5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380065917968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C40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concrete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820007324218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0.13</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0.0043</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-0.0053</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272.869873046875" w:right="246.413574218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GaBi database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[39] </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(b)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data from [40]</w:t>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88037109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Steel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reinforcing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0.0079</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04.039306640625" w:right="8.640136718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EPD reg. no.: S-P-00855  [41]</w:t>
            </w:r>
          </w:p>
        </w:tc>
      </w:tr>
      <w:tr>
        <w:trPr>
          <w:cantSplit w:val="0"/>
          <w:trHeight w:val="28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84.49996948242188" w:right="103.180236816406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Softwood  timber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(sawn)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 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906</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-585</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-439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70.439453125" w:right="-22.5598144531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EPD reg. no.: S-P-00560 [41] </w:t>
            </w:r>
          </w:p>
        </w:tc>
      </w:tr>
      <w:tr>
        <w:trPr>
          <w:cantSplit w:val="0"/>
          <w:trHeight w:val="2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5.59</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-586</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-452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900</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1.41</w:t>
            </w: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14.41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8.640136718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5986328125" w:line="240" w:lineRule="auto"/>
        <w:ind w:left="515.8223724365234"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only Modules C3-C4 were considered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046875" w:line="241.69426918029785" w:lineRule="auto"/>
        <w:ind w:left="518.5054779052734" w:right="1142.879638671875" w:hanging="2.68310546875"/>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only Module C3 was considered and the end-of-life scenario includes shredding (module C3) and combustion  with recovered energy offset against average thermal energy from natural gas (module D)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162109375" w:line="244.32005882263184" w:lineRule="auto"/>
        <w:ind w:left="526.7110443115234" w:right="1118.729248046875" w:firstLine="2.7888488769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Similarly, for wood products, the scope of the analysis has a huge influence on the  results of the LCA. However, in this case, there is an additional question to be  considered: the biogenic carbon sequestration. The carbon that is absorbed from the  atmosphere by biomass as it grows is temporarily stored into wood materials, but at the  end-of-life stage of these materials, through decomposition or incineration, the carbon  emissions that were temporarily stored are released. Therefore, the omission of end-of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2666015625" w:line="240" w:lineRule="auto"/>
        <w:ind w:left="534.6790313720703"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life stages in the scope of the analysis could lead to bias results.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3.75781059265137" w:lineRule="auto"/>
        <w:ind w:left="519.1414642333984" w:right="1117.92236328125" w:firstLine="16.9320678710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Moreover, biogenic carbon should only be considered in Module A1-A3, when the wood is  originated from a sustainably managed forest</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which is the case of the wooden material  indicated in Table 10, according to the information provided by the source. In this case,  the results for the softwood timber are reported as a total GWP (GWPT), as well as  biogenic carbon (GWPB) and fossil carbon (GWPF). In all cases, the values from Modules  A1-A3 alone are completely different from the overall values (Modules A1-D).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5087890625" w:line="243.27627182006836" w:lineRule="auto"/>
        <w:ind w:left="526.7110443115234" w:right="1119.144287109375" w:firstLine="9.36248779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For a matter of transparency, in the developed model for LCA [2], the environmental  category of GWP was divided into GWP including biogenic carbon and GWP excluding  biogenic carbon.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21435546875" w:line="240" w:lineRule="auto"/>
        <w:ind w:left="516.551895141601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1.69435501098633" w:lineRule="auto"/>
        <w:ind w:left="879.4582366943359" w:right="1131.622314453125" w:hanging="349.1975402832031"/>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799999872843426"/>
          <w:szCs w:val="16.799999872843426"/>
          <w:u w:val="none"/>
          <w:shd w:fill="auto" w:val="clear"/>
          <w:vertAlign w:val="superscript"/>
          <w:rtl w:val="0"/>
        </w:rPr>
        <w:t xml:space="preserve">1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A sustainable forest ‘is carbon and climate neutral and preserves biodiversity to support fundamental  functionalities and ecosystems services on a landscape level’ [42]</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112976074219" w:line="240" w:lineRule="auto"/>
        <w:ind w:left="4941.60881042480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1790313720703" w:right="0" w:firstLine="0"/>
        <w:jc w:val="left"/>
        <w:rPr>
          <w:rFonts w:ascii="Verdana" w:cs="Verdana" w:eastAsia="Verdana" w:hAnsi="Verdan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5.920000076293945"/>
          <w:szCs w:val="25.920000076293945"/>
          <w:u w:val="none"/>
          <w:shd w:fill="auto" w:val="clear"/>
          <w:vertAlign w:val="baseline"/>
          <w:rtl w:val="0"/>
        </w:rPr>
        <w:t xml:space="preserve">4 Preliminary set of benchmarks for residential buildings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12744140625" w:line="240" w:lineRule="auto"/>
        <w:ind w:left="526.3918304443359"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4.1 Introduction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3.27552795410156" w:lineRule="auto"/>
        <w:ind w:left="523.3246612548828" w:right="1119.30908203125" w:hanging="6.7727661132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preliminary set of benchmarks is based on the assessment of the environmental  performance of the case studies included in the project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Environmental Improvement  Potentials of Residential Buildings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(IMPRO-Building) [6]. The LCA model used for the  assessment of the buildings is fully described in [2].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2578125" w:line="244.07835960388184" w:lineRule="auto"/>
        <w:ind w:left="533.4839630126953" w:right="1117.073974609375" w:hanging="16.9320678710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goal of the IMPRO-Building project was the analysis of the potential environmental  improvements of residential buildings in the EU-25. The project took into account all  relevant types of residential buildings, from single-family houses to multi-apartment  buildings, including existing and new buildings.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9072265625" w:line="244.02803421020508" w:lineRule="auto"/>
        <w:ind w:left="516.5518951416016" w:right="1116.998291015625" w:firstLine="19.521636962890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Hence, in the framework of the referred project, data was collected to define relevant  building models with enough representativeness of the building stock at the EU-25 level.  The buildings were divided into three building types (single-family houses (SI), multi family buildings (MF) and high-rise buildings (HR)), representing 53%, 37% and 10% of  SI, MF and HR buildings, respectively, of the existing EU-25 building stock.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935546875" w:line="244.07876014709473" w:lineRule="auto"/>
        <w:ind w:left="525.5158233642578" w:right="1117.13623046875" w:firstLine="4.38247680664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addition, the buildings cover the three main climate zones in Europe according to  heating degree days (HDD): zone Z1 – South European countries (564 to 2500 HDD),  zone Z2 – Central European countries (2501 to 4000 HDD), and zone Z3 – North  European countries (4000 to 5823 HDD).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9072265625" w:line="244.480562210083" w:lineRule="auto"/>
        <w:ind w:left="526.7110443115234" w:right="1116.44653320312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Therefore, 72 building models (53 existing buildings and 19 new building types) were  considered, as indicated in Table 11. A full description of each building, including the bill  of the main materials, is provided in the final report of the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IMPRO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project [6].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4990234375"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11.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Number of buildings and types in each zone [6] </w:t>
      </w:r>
    </w:p>
    <w:tbl>
      <w:tblPr>
        <w:tblStyle w:val="Table11"/>
        <w:tblW w:w="9039.919891357422" w:type="dxa"/>
        <w:jc w:val="left"/>
        <w:tblInd w:w="403.751907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6.5199279785156"/>
        <w:gridCol w:w="921.6000366210938"/>
        <w:gridCol w:w="1087.60009765625"/>
        <w:gridCol w:w="919.1998291015625"/>
        <w:gridCol w:w="897.60009765625"/>
        <w:gridCol w:w="919.7998046875"/>
        <w:gridCol w:w="897.60009765625"/>
        <w:tblGridChange w:id="0">
          <w:tblGrid>
            <w:gridCol w:w="3396.5199279785156"/>
            <w:gridCol w:w="921.6000366210938"/>
            <w:gridCol w:w="1087.60009765625"/>
            <w:gridCol w:w="919.1998291015625"/>
            <w:gridCol w:w="897.60009765625"/>
            <w:gridCol w:w="919.7998046875"/>
            <w:gridCol w:w="897.60009765625"/>
          </w:tblGrid>
        </w:tblGridChange>
      </w:tblGrid>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4197998046875" w:firstLine="0"/>
              <w:jc w:val="righ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Single-family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house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4195556640625" w:firstLine="0"/>
              <w:jc w:val="righ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Multi-family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house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2403564453125" w:firstLine="0"/>
              <w:jc w:val="righ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High-rise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building</w:t>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Climatic zones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existing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existing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existing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new</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Zone 1: South European countries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1.97998046875" w:right="42.64068603515625" w:firstLine="1.97998046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Zone 2: Central European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Zone 3: North European countries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796508789062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TOTAL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7803802490234" w:lineRule="auto"/>
        <w:ind w:left="516.5518951416016" w:right="1116.81396484375" w:hanging="2.5895690917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list of buildings, including the information about the type of structure, is provided in  Annex 1 of this report. Following the notation used in the previous project, each building  is identified by the following reference: “Zone type (ZX)_Building type (XX)_Number  (XXX)”. Zone type refers to the three climatic regions: Z1 – southern European countries,  Z2 – central European countries and Z3 – northern European countries; while, building  type refers to: SI – single-family houses, MF – multi-family houses and HR – high-rise  buildings.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98095703125" w:line="240" w:lineRule="auto"/>
        <w:ind w:left="526.3918304443359"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4.2 Statistical analysis of LCA results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4.48030471801758" w:lineRule="auto"/>
        <w:ind w:left="526.7110443115234" w:right="1123.80004882812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methodology that is used to establish the preliminary set of benchmarks (“best” and  conventional” values) is based on the statistical evaluation of the results obtained for  each European area.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4.07896041870117" w:lineRule="auto"/>
        <w:ind w:left="526.7110443115234" w:right="1117.08496093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life cycle environmental assessment of each building is based on the functional  equivalent, which includes the type of use of the building, the total gross floor area and a  reference period of time [2]. Thus, the result for each indicator is normalized by the area  and number of years considered for each building.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482421875" w:line="243.2760715484619" w:lineRule="auto"/>
        <w:ind w:left="534.4799041748047" w:right="1116.937255859375" w:hanging="4.58160400390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this case, the type of use refers to residential buildings, although a subdivision is  made in terms of single family houses (SI), multi-family houses (MF) and high-rise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144470214844" w:line="240" w:lineRule="auto"/>
        <w:ind w:left="4941.60881042480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26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534.4799041748047" w:right="1117.840576171875"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buildings (HR). The reference period is taken as the service life considered for each  building in the IMPRO project.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6064453125" w:line="244.07835960388184" w:lineRule="auto"/>
        <w:ind w:left="526.7110443115234" w:right="1116.96044921875" w:hanging="10.159149169921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life cycle analysis of each building is limited to the structural system [2], hence  insulation materials and other non-structural elements were not considered in the  analysis. The scope of the LCA comprehends Modules A1-A3, Module B4, Modules C1-C4  and Module D.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78515625" w:line="240.21958351135254" w:lineRule="auto"/>
        <w:ind w:left="526.9103240966797" w:right="1117.37548828125" w:hanging="10.358428955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analysis was performed for all indicators in Table 1. However, in this report,  emphasis is given to two indicators: Global Warming Potential (in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and  Primary Energy (in MJ/m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Global Warming Potential is further divided in order to  include biogenic carbon (GWP1) and exclude (GWP2).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38671875" w:line="244.27928924560547" w:lineRule="auto"/>
        <w:ind w:left="522.5278472900391" w:right="1116.95068359375" w:hanging="3.38638305664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As previously referred, in the following statistical analysis it is assumed that the  conventional practice is given by the median of the values and the best practice given by  the first quartile (25%), i.e., the boundary of the 25% lowest values. In the sample of  values, no discrepancy values (outliers) where found.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80810546875" w:line="240" w:lineRule="auto"/>
        <w:ind w:left="525.6046295166016"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4.2.1 Statistical analysis of European area Z1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6513671875" w:line="243.27552795410156" w:lineRule="auto"/>
        <w:ind w:left="522.5278472900391" w:right="1122.049560546875" w:hanging="5.9759521484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results are represented in Table 12 for European area Z1. The results presented in  this table are aggregated over the life cycle of each building.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5576171875" w:line="219.18924808502197" w:lineRule="auto"/>
        <w:ind w:left="889.9918365478516" w:right="1124.219970703125" w:hanging="369.8399353027344"/>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12.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Statistical analysis for life cycle aggregated results [GWP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and PE  (MJ/m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in Z1 </w:t>
      </w:r>
    </w:p>
    <w:tbl>
      <w:tblPr>
        <w:tblStyle w:val="Table12"/>
        <w:tblW w:w="9063.920440673828" w:type="dxa"/>
        <w:jc w:val="left"/>
        <w:tblInd w:w="516.5518951416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3200073242188"/>
        <w:gridCol w:w="1029.6000671386719"/>
        <w:gridCol w:w="1479.000244140625"/>
        <w:gridCol w:w="1478.399658203125"/>
        <w:gridCol w:w="1478.800048828125"/>
        <w:gridCol w:w="1481.400146484375"/>
        <w:gridCol w:w="1478.4002685546875"/>
        <w:tblGridChange w:id="0">
          <w:tblGrid>
            <w:gridCol w:w="638.3200073242188"/>
            <w:gridCol w:w="1029.6000671386719"/>
            <w:gridCol w:w="1479.000244140625"/>
            <w:gridCol w:w="1478.399658203125"/>
            <w:gridCol w:w="1478.800048828125"/>
            <w:gridCol w:w="1481.400146484375"/>
            <w:gridCol w:w="1478.4002685546875"/>
          </w:tblGrid>
        </w:tblGridChange>
      </w:tblGrid>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Mean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499633789062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Standard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2200927734375" w:firstLine="0"/>
              <w:jc w:val="righ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Quartile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Quartile 75%</w:t>
            </w:r>
          </w:p>
        </w:tc>
      </w:tr>
      <w:tr>
        <w:trPr>
          <w:cantSplit w:val="0"/>
          <w:trHeight w:val="22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00244140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9.34</w:t>
            </w:r>
          </w:p>
        </w:tc>
      </w:tr>
      <w:tr>
        <w:trPr>
          <w:cantSplit w:val="0"/>
          <w:trHeight w:val="2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14.03</w:t>
            </w:r>
          </w:p>
        </w:tc>
      </w:tr>
      <w:tr>
        <w:trPr>
          <w:cantSplit w:val="0"/>
          <w:trHeight w:val="228.400268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154.00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117.62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205.55</w:t>
            </w:r>
          </w:p>
        </w:tc>
      </w:tr>
      <w:tr>
        <w:trPr>
          <w:cantSplit w:val="0"/>
          <w:trHeight w:val="22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401184082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10.44</w:t>
            </w:r>
          </w:p>
        </w:tc>
      </w:tr>
      <w:tr>
        <w:trPr>
          <w:cantSplit w:val="0"/>
          <w:trHeight w:val="2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12.66</w:t>
            </w:r>
          </w:p>
        </w:tc>
      </w:tr>
      <w:tr>
        <w:trPr>
          <w:cantSplit w:val="0"/>
          <w:trHeight w:val="22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112.45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168.50</w:t>
            </w:r>
          </w:p>
        </w:tc>
      </w:tr>
      <w:tr>
        <w:trPr>
          <w:cantSplit w:val="0"/>
          <w:trHeight w:val="22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401184082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11.18</w:t>
            </w:r>
          </w:p>
        </w:tc>
      </w:tr>
      <w:tr>
        <w:trPr>
          <w:cantSplit w:val="0"/>
          <w:trHeight w:val="23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11.24</w:t>
            </w:r>
          </w:p>
        </w:tc>
      </w:tr>
      <w:tr>
        <w:trPr>
          <w:cantSplit w:val="0"/>
          <w:trHeight w:val="2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37.41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67.27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153.05</w:t>
            </w:r>
          </w:p>
        </w:tc>
      </w:tr>
    </w:tbl>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522.5278472900391" w:right="1117.94189453125" w:hanging="5.9759521484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values obtained for GWP2 are, in general, higher than the values for GWP1 due to  the contribution of structural elements in wood.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8681640625" w:line="243.27627182006836" w:lineRule="auto"/>
        <w:ind w:left="523.1255340576172" w:right="1202.503662109375" w:hanging="6.573638916015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lowest values correspond to high-rise buildings and the highest values are for single family houses.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39404296875" w:line="240" w:lineRule="auto"/>
        <w:ind w:left="525.6046295166016"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4.2.2 Statistical analysis of European area Z2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64892578125" w:line="240" w:lineRule="auto"/>
        <w:ind w:left="516.551895141601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aggregated results for European area Z2 are represented in Table 13.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316650390625" w:line="219.1895341873169" w:lineRule="auto"/>
        <w:ind w:left="889.9918365478516" w:right="1124.219970703125" w:hanging="369.8399353027344"/>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13.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Statistical analysis for life cycle aggregated results [GWP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and PE  (MJ/m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in Z2</w:t>
      </w:r>
    </w:p>
    <w:tbl>
      <w:tblPr>
        <w:tblStyle w:val="Table13"/>
        <w:tblW w:w="9063.920440673828" w:type="dxa"/>
        <w:jc w:val="left"/>
        <w:tblInd w:w="516.5518951416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3200073242188"/>
        <w:gridCol w:w="1029.6000671386719"/>
        <w:gridCol w:w="1479.000244140625"/>
        <w:gridCol w:w="1478.399658203125"/>
        <w:gridCol w:w="1478.800048828125"/>
        <w:gridCol w:w="1481.400146484375"/>
        <w:gridCol w:w="1478.4002685546875"/>
        <w:tblGridChange w:id="0">
          <w:tblGrid>
            <w:gridCol w:w="638.3200073242188"/>
            <w:gridCol w:w="1029.6000671386719"/>
            <w:gridCol w:w="1479.000244140625"/>
            <w:gridCol w:w="1478.399658203125"/>
            <w:gridCol w:w="1478.800048828125"/>
            <w:gridCol w:w="1481.400146484375"/>
            <w:gridCol w:w="1478.4002685546875"/>
          </w:tblGrid>
        </w:tblGridChange>
      </w:tblGrid>
      <w:tr>
        <w:trPr>
          <w:cantSplit w:val="0"/>
          <w:trHeight w:val="44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Mean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499633789062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Standard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2200927734375" w:firstLine="0"/>
              <w:jc w:val="righ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Quartile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Quartile 75%</w:t>
            </w:r>
          </w:p>
        </w:tc>
      </w:tr>
      <w:tr>
        <w:trPr>
          <w:cantSplit w:val="0"/>
          <w:trHeight w:val="22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00244140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7.54</w:t>
            </w:r>
          </w:p>
        </w:tc>
      </w:tr>
      <w:tr>
        <w:trPr>
          <w:cantSplit w:val="0"/>
          <w:trHeight w:val="227.9989624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9.27</w:t>
            </w:r>
          </w:p>
        </w:tc>
      </w:tr>
      <w:tr>
        <w:trPr>
          <w:cantSplit w:val="0"/>
          <w:trHeight w:val="230.401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134.65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131.83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126.60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148.61</w:t>
            </w:r>
          </w:p>
        </w:tc>
      </w:tr>
      <w:tr>
        <w:trPr>
          <w:cantSplit w:val="0"/>
          <w:trHeight w:val="22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401184082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7.30</w:t>
            </w:r>
          </w:p>
        </w:tc>
      </w:tr>
      <w:tr>
        <w:trPr>
          <w:cantSplit w:val="0"/>
          <w:trHeight w:val="227.9989624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9.32</w:t>
            </w:r>
          </w:p>
        </w:tc>
      </w:tr>
      <w:tr>
        <w:trPr>
          <w:cantSplit w:val="0"/>
          <w:trHeight w:val="230.40115356445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105.25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85.16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125.36</w:t>
            </w:r>
          </w:p>
        </w:tc>
      </w:tr>
      <w:tr>
        <w:trPr>
          <w:cantSplit w:val="0"/>
          <w:trHeight w:val="228.00003051757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401184082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6.91</w:t>
            </w:r>
          </w:p>
        </w:tc>
      </w:tr>
      <w:tr>
        <w:trPr>
          <w:cantSplit w:val="0"/>
          <w:trHeight w:val="228.39874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6.94</w:t>
            </w:r>
          </w:p>
        </w:tc>
      </w:tr>
      <w:tr>
        <w:trPr>
          <w:cantSplit w:val="0"/>
          <w:trHeight w:val="230.401306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83.86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88.89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67.77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94.92</w:t>
            </w:r>
          </w:p>
        </w:tc>
      </w:tr>
    </w:tbl>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1.60881042480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27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522.5278472900391" w:right="1121.121826171875" w:firstLine="13.54568481445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Likewise, the lowest median values correspond to high-rise buildings and the highest  values are for single-family houses.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6259765625" w:line="240" w:lineRule="auto"/>
        <w:ind w:left="525.6046295166016"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4.2.3 Statistical analysis of European area Z3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6611328125" w:line="244.47918891906738" w:lineRule="auto"/>
        <w:ind w:left="522.5278472900391" w:right="1123.30078125" w:firstLine="13.54568481445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For the European area Z3, the results are represented in Table 14, and also in this case the lowest median values correspond to high-rise buildings and the highest values are for  single-family houses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7041015625" w:line="219.1885757446289" w:lineRule="auto"/>
        <w:ind w:left="889.9918365478516" w:right="1124.219970703125" w:hanging="369.8399353027344"/>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14.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Statistical analysis for life cycle aggregated results [GWP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and PE  (MJ/m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in Z3 </w:t>
      </w:r>
    </w:p>
    <w:tbl>
      <w:tblPr>
        <w:tblStyle w:val="Table14"/>
        <w:tblW w:w="9063.920440673828" w:type="dxa"/>
        <w:jc w:val="left"/>
        <w:tblInd w:w="516.5518951416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3200073242188"/>
        <w:gridCol w:w="1029.6000671386719"/>
        <w:gridCol w:w="1479.000244140625"/>
        <w:gridCol w:w="1478.399658203125"/>
        <w:gridCol w:w="1478.800048828125"/>
        <w:gridCol w:w="1481.400146484375"/>
        <w:gridCol w:w="1478.4002685546875"/>
        <w:tblGridChange w:id="0">
          <w:tblGrid>
            <w:gridCol w:w="638.3200073242188"/>
            <w:gridCol w:w="1029.6000671386719"/>
            <w:gridCol w:w="1479.000244140625"/>
            <w:gridCol w:w="1478.399658203125"/>
            <w:gridCol w:w="1478.800048828125"/>
            <w:gridCol w:w="1481.400146484375"/>
            <w:gridCol w:w="1478.4002685546875"/>
          </w:tblGrid>
        </w:tblGridChange>
      </w:tblGrid>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Mean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499633789062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Standard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2200927734375" w:firstLine="0"/>
              <w:jc w:val="righ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Quartile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Quartile 75%</w:t>
            </w:r>
          </w:p>
        </w:tc>
      </w:tr>
      <w:tr>
        <w:trPr>
          <w:cantSplit w:val="0"/>
          <w:trHeight w:val="22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00244140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10.67</w:t>
            </w:r>
          </w:p>
        </w:tc>
      </w:tr>
      <w:tr>
        <w:trPr>
          <w:cantSplit w:val="0"/>
          <w:trHeight w:val="23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13.84</w:t>
            </w:r>
          </w:p>
        </w:tc>
      </w:tr>
      <w:tr>
        <w:trPr>
          <w:cantSplit w:val="0"/>
          <w:trHeight w:val="22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133.89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66.32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124.95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246.23</w:t>
            </w:r>
          </w:p>
        </w:tc>
      </w:tr>
      <w:tr>
        <w:trPr>
          <w:cantSplit w:val="0"/>
          <w:trHeight w:val="22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401184082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3.74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10.57</w:t>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11.12</w:t>
            </w:r>
          </w:p>
        </w:tc>
      </w:tr>
      <w:tr>
        <w:trPr>
          <w:cantSplit w:val="0"/>
          <w:trHeight w:val="22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124.82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116.86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79.75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175.95</w:t>
            </w:r>
          </w:p>
        </w:tc>
      </w:tr>
      <w:tr>
        <w:trPr>
          <w:cantSplit w:val="0"/>
          <w:trHeight w:val="22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401184082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6.91</w:t>
            </w:r>
          </w:p>
        </w:tc>
      </w:tr>
      <w:tr>
        <w:trPr>
          <w:cantSplit w:val="0"/>
          <w:trHeight w:val="23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6.94</w:t>
            </w:r>
          </w:p>
        </w:tc>
      </w:tr>
      <w:tr>
        <w:trPr>
          <w:cantSplit w:val="0"/>
          <w:trHeight w:val="22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84.36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88.91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69.24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94.93</w:t>
            </w:r>
          </w:p>
        </w:tc>
      </w:tr>
    </w:tbl>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6046295166016"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4.2.4 Statistical analysis for all areas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6611328125" w:line="244.48087692260742" w:lineRule="auto"/>
        <w:ind w:left="516.5518951416016" w:right="1117.37915039062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previous results were aggregated over the complete life cycle of the buildings. In  Figure 13 to Figure 15, the results are provided for the results of Modules A1-A3 and for  the corresponding aggregated results, and for each European area.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43798828125" w:line="244.48087692260742" w:lineRule="auto"/>
        <w:ind w:left="522.5278472900391" w:right="1119.2651367187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results for GWP1 are indicated in Figure 13. It is observed that, in all three areas, in  terms of median values, the results for Modules A1-A3 and respective aggregated results  are very close, both for single houses and multi-family buildings.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3.27627182006836" w:lineRule="auto"/>
        <w:ind w:left="527.1094512939453" w:right="1126.407470703125" w:hanging="10.55755615234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scatter of values found for each area is not related to the climatic area but with the  different types of structures in each area.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142578125" w:line="225.60781002044678" w:lineRule="auto"/>
        <w:ind w:left="517.0720672607422" w:right="1189.801025390625"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13.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for single family houses (SI) and multi-family buildings (MF)</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759450" cy="332994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59450" cy="332994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522.5278472900391" w:right="1118.01147460937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results for GWP2 are indicated in Figure 14. In this case, for single family houses,  the median values for area Z2 are slightly lower than the other 2 areas, but again this  due to the different types of structures in the 3 areas.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14599609375" w:line="337.814998626709" w:lineRule="auto"/>
        <w:ind w:left="517.0720672607422" w:right="1201.6003417968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14.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for single family houses (SI) and multi-family buildings (MF)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751957" cy="345059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51957" cy="345059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66796875" w:line="243.2768440246582" w:lineRule="auto"/>
        <w:ind w:left="533.4839630126953" w:right="1119.3408203125" w:firstLine="2.5895690917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Finally, for PE, the results of Modules A1-A3 and respective aggregated results are  indicated in Figure 15.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137451171875" w:line="221.23722553253174" w:lineRule="auto"/>
        <w:ind w:left="517.0720672607422" w:right="1200.80078125"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15.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MJ/m</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for single family houses (SI) and multi-family buildings (MF)</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752465" cy="3698240"/>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52465" cy="369824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29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534.4799041748047" w:right="1121.116943359375" w:firstLine="1.5936279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Likewise, there are no significant differences in the results, particularly in relation to  multi-family buildings, in terms of median values. For single family houses, the scatter of  results is higher and this trend is also noticeable for the previous indicators.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5.68408012390137" w:lineRule="auto"/>
        <w:ind w:left="526.7110443115234" w:right="1117.20458984375" w:hanging="7.56958007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Another conclusion from Figure 13 to Figure 15 is that, in all cases, Modules A1-A3 have  a dominant contribution towards the respective aggregated result.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6259765625" w:line="240" w:lineRule="auto"/>
        <w:ind w:left="525.6046295166016"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4.2.5 Statistical analysis for all building types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5390625" w:line="243.27552795410156" w:lineRule="auto"/>
        <w:ind w:left="534.4799041748047" w:right="1125.706787109375" w:hanging="17.92800903320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Taking into account the aggregated life cycle result from the three climatic areas, the  results for each building type are indicated in Table 15.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142578125"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15.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Statistical analysis for each building type [GWP (kg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and PE (MJ/m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.yr)]  </w:t>
      </w:r>
    </w:p>
    <w:tbl>
      <w:tblPr>
        <w:tblStyle w:val="Table15"/>
        <w:tblW w:w="9063.920440673828" w:type="dxa"/>
        <w:jc w:val="left"/>
        <w:tblInd w:w="516.5518951416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3200073242188"/>
        <w:gridCol w:w="1029.6000671386719"/>
        <w:gridCol w:w="1479.000244140625"/>
        <w:gridCol w:w="1478.399658203125"/>
        <w:gridCol w:w="1478.800048828125"/>
        <w:gridCol w:w="1481.400146484375"/>
        <w:gridCol w:w="1478.4002685546875"/>
        <w:tblGridChange w:id="0">
          <w:tblGrid>
            <w:gridCol w:w="638.3200073242188"/>
            <w:gridCol w:w="1029.6000671386719"/>
            <w:gridCol w:w="1479.000244140625"/>
            <w:gridCol w:w="1478.399658203125"/>
            <w:gridCol w:w="1478.800048828125"/>
            <w:gridCol w:w="1481.400146484375"/>
            <w:gridCol w:w="1478.4002685546875"/>
          </w:tblGrid>
        </w:tblGridChange>
      </w:tblGrid>
      <w:tr>
        <w:trPr>
          <w:cantSplit w:val="0"/>
          <w:trHeight w:val="44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Mean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499633789062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Standard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2200927734375" w:firstLine="0"/>
              <w:jc w:val="righ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Quartile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Quartile 75%</w:t>
            </w:r>
          </w:p>
        </w:tc>
      </w:tr>
      <w:tr>
        <w:trPr>
          <w:cantSplit w:val="0"/>
          <w:trHeight w:val="23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000244140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8.71</w:t>
            </w:r>
          </w:p>
        </w:tc>
      </w:tr>
      <w:tr>
        <w:trPr>
          <w:cantSplit w:val="0"/>
          <w:trHeight w:val="22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11.27</w:t>
            </w:r>
          </w:p>
        </w:tc>
      </w:tr>
      <w:tr>
        <w:trPr>
          <w:cantSplit w:val="0"/>
          <w:trHeight w:val="22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157.56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139.25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124.19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186.18</w:t>
            </w:r>
          </w:p>
        </w:tc>
      </w:tr>
      <w:tr>
        <w:trPr>
          <w:cantSplit w:val="0"/>
          <w:trHeight w:val="230.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401184082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9.94</w:t>
            </w:r>
          </w:p>
        </w:tc>
      </w:tr>
      <w:tr>
        <w:trPr>
          <w:cantSplit w:val="0"/>
          <w:trHeight w:val="22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7.32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10.75</w:t>
            </w:r>
          </w:p>
        </w:tc>
      </w:tr>
      <w:tr>
        <w:trPr>
          <w:cantSplit w:val="0"/>
          <w:trHeight w:val="22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105.60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48.80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159.77</w:t>
            </w:r>
          </w:p>
        </w:tc>
      </w:tr>
      <w:tr>
        <w:trPr>
          <w:cantSplit w:val="0"/>
          <w:trHeight w:val="23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4011840820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6.91</w:t>
            </w:r>
          </w:p>
        </w:tc>
      </w:tr>
      <w:tr>
        <w:trPr>
          <w:cantSplit w:val="0"/>
          <w:trHeight w:val="227.998657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6.94</w:t>
            </w:r>
          </w:p>
        </w:tc>
      </w:tr>
      <w:tr>
        <w:trPr>
          <w:cantSplit w:val="0"/>
          <w:trHeight w:val="22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216064453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89.69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88.89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68.51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94.93</w:t>
            </w:r>
          </w:p>
        </w:tc>
      </w:tr>
    </w:tbl>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7930374145508" w:lineRule="auto"/>
        <w:ind w:left="522.5278472900391" w:right="1119.9462890625" w:firstLine="13.54568481445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Both in terms of median values, taken as ‘conventional practices’ and lower quartile  values, considered as ‘best practices’, single family houses have the higher values,  followed by multi-family buildings and high-rise buildings. The values obtained for GWP1  are slightly biased due to the higher contribution of wooden structural elements.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814453125" w:line="243.27627182006836" w:lineRule="auto"/>
        <w:ind w:left="526.7110443115234" w:right="1116.781005859375" w:firstLine="9.36248779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Finally, taking into account only Modules A1-A3, the median, lower and upper quartiles,  and minimum and maximum values are illustrated in Figure 16 and Figure 17, for GWP  and PE, respectively.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1435546875" w:line="337.01419830322266" w:lineRule="auto"/>
        <w:ind w:left="846.5718841552734" w:right="1489.2608642578125" w:hanging="8.48007202148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16.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GWP1 and GWP2 (in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for all types of buildings (Modules A1-A3)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341365" cy="1594485"/>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41365" cy="1594485"/>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11865234375" w:line="240" w:lineRule="auto"/>
        <w:ind w:left="1867.6119232177734"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17.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PE (in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MJ/m</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for all types of buildings (Modules A1-A3)</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79736328125" w:line="244.65396881103516" w:lineRule="auto"/>
        <w:ind w:left="1538.671875" w:right="2209.600830078125"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4463161" cy="1594485"/>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463161" cy="1594485"/>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533.4839630126953" w:right="1117.994384765625" w:hanging="14.3424987792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As Modules A1-A3 have a dominant contribution towards the aggregated result, the trend  in Figure 16 and Figure 17 is similar to the one observed in Table 15.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6162109375" w:line="240" w:lineRule="auto"/>
        <w:ind w:left="526.3918304443359"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4.3 Comparison with available benchmarks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3.6771297454834" w:lineRule="auto"/>
        <w:ind w:left="522.5278472900391" w:right="1126.60400390625" w:firstLine="7.370452880859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this section, an attempt is made to compare the values quantified in the previous sub section to similar values available in the literature. However, as previously referred, the  importance of this comparison is only limited since different scopes and assumptions on  the respective calculations and different data lead to different results. Therefore, the  values are not easily comparable. The main goal of this comparison was simply to  understand how the reference values obtained in this chapter are positioned in the range  of values available in the literature.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81103515625" w:line="244.27928924560547" w:lineRule="auto"/>
        <w:ind w:left="519.1414642333984" w:right="1117.919921875" w:firstLine="10.75683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the first comparison, the results of the analysis are compared with the values available  in the database deQo [25]. The comparison is presented in Figure 18 for the impact  category of GWP including biogenic carbon, considering only the results from Modules  A1-A3.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80517578125" w:line="240" w:lineRule="auto"/>
        <w:ind w:left="2119.612045288086"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18.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Comparison of benchmarks for GWP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359375" w:line="240" w:lineRule="auto"/>
        <w:ind w:left="793.071975708007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401691" cy="1741805"/>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401691" cy="1741805"/>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785457611084" w:lineRule="auto"/>
        <w:ind w:left="522.5278472900391" w:right="1120.625" w:firstLine="7.3704528808593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terms of the median values, only slight variations are found, about 15% for single family houses and multi-family houses; while for high-rise building the variation is lower  than 5%. In terms of the lower quartile, the values are also quite similar, except for  single-family houses. However, there is a huge variation in terms of the range of values  for the two groups of results.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5087890625" w:line="244.480562210083" w:lineRule="auto"/>
        <w:ind w:left="522.5278472900391" w:right="1117.198486328125" w:firstLine="7.3704528808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relation to PE, the comparison is made with results from a literature review [28]. For  the impact category of PE, the comparison in represented in Figure 19. In this case, life  cycle aggregated results are used in the comparison.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145751953125" w:line="240" w:lineRule="auto"/>
        <w:ind w:left="2467.6119232177734"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Figure 19.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Comparison of benchmarks for PE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MJ/m</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04296875" w:line="240" w:lineRule="auto"/>
        <w:ind w:left="1273.071975708007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4800092" cy="16129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800092"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128849029541" w:lineRule="auto"/>
        <w:ind w:left="526.7110443115234" w:right="1116.785888671875" w:firstLine="3.1872558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this case, a higher variation is found for the median value of single-family houses,  about 40%; while for multi-family houses, the variation is much lower, close to 12%.  Likewise, there is a huge variation in terms of the range of values for the two groups of  results.</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367736816406" w:line="240" w:lineRule="auto"/>
        <w:ind w:left="4942.206344604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31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2878265380859" w:right="0" w:firstLine="0"/>
        <w:jc w:val="left"/>
        <w:rPr>
          <w:rFonts w:ascii="Verdana" w:cs="Verdana" w:eastAsia="Verdana" w:hAnsi="Verdana"/>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5.920000076293945"/>
          <w:szCs w:val="25.920000076293945"/>
          <w:u w:val="none"/>
          <w:shd w:fill="auto" w:val="clear"/>
          <w:vertAlign w:val="baseline"/>
          <w:rtl w:val="0"/>
        </w:rPr>
        <w:t xml:space="preserve">5 Conclusions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2646484375" w:line="243.87765884399414" w:lineRule="auto"/>
        <w:ind w:left="523.5239410400391" w:right="1118.843994140625" w:hanging="6.97204589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research project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EFIResources</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Resource Efficient Construction towards Sustainable  Design</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aims to support European policies related to the efficient use of resources in  construction and its major goal is the development of a performance based approach for  sustainable design, enabling to assess resource efficiency of buildings in the stage of  design.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5087890625" w:line="244.23917770385742" w:lineRule="auto"/>
        <w:ind w:left="516.5518951416016" w:right="1117.3681640625" w:firstLine="13.3464050292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the proposed approach for sustainability design, the performance of a building,  focussing on resource use, is benchmarked against standard and/or best practices. Therefore, the main goal on the development of benchmarks is to provide a consistent  and transparent yardstick for the assessment of the environmental performance of  buildings, striving towards an effective reduction of the use of resources and relative  environmental impacts in the building sector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4.07835960388184" w:lineRule="auto"/>
        <w:ind w:left="522.5278472900391" w:right="1121.241455078125" w:hanging="5.9759521484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The adopted framework for the development of benchmarks is based on a graduated  approach, starting on a simple basis and being refined and increasing in complexity over  time, as data collection on buildings and relative processes will become more complete  and precise.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49072265625" w:line="243.964262008667" w:lineRule="auto"/>
        <w:ind w:left="519.1414642333984" w:right="1116.683349609375" w:hanging="3.3863830566406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preliminary set of reference values for residential buildings was established based on  the assessment of the environmental performance of 76 case studies provided by a  previous research project. These values are based on data referring to representative  buildings in the EU and may be considered to be representative of the existing residential  building stock in Europe. The values were compared with values from other sources in  the literature and, in terms of median values, a good agreement was found. It is  observed that the relevance of this comparison is only limited due to the reasons  explained in the text.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345703125" w:line="244.07913208007812" w:lineRule="auto"/>
        <w:ind w:left="522.5278472900391" w:right="1126.181640625" w:firstLine="7.37045288085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 the follow-up of this project, a database is foreseen for the collection of building data,  which will enable to continuously update the values that will be provided by the end of  the current project, thus increasing the accuracy of the values and the reliability of the  approach over time.</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1480712890625" w:line="240" w:lineRule="auto"/>
        <w:ind w:left="4942.206344604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32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8718414306641"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2.56922721862793" w:lineRule="auto"/>
        <w:ind w:left="951.4318084716797" w:right="1127.039794921875" w:hanging="413.8198852539062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 COM(2011)571 final, Communication from the Commission to the European Parliament, the  Council, the European Economic and Social Committee and Committee of the Regions, the  Roadmap to a Resource Efficient Europe, EU, Brussels.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3.90263557434082" w:lineRule="auto"/>
        <w:ind w:left="537.6119232177734" w:right="1124.10034179687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 Gervasio, H. and Dimova, S.,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Model for Life Cycle Assessment (LCA) of buildings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EUR 29123  EN, Publications Office of the European Union, 2018, ISBN 978-92-79-79974-7 (print); 978- 92-79-79973-0 (pdf), doi:10.2760/10016 (online),10.2760/789069 (print), JRC110082.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1259765625" w:line="242.5696849822998" w:lineRule="auto"/>
        <w:ind w:left="950.5318450927734" w:right="1125.299072265625" w:hanging="412.91992187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 COM(2017) 687 final, Report from the Commission to the European Parliament and the Council  2017, Assessment of the progress made by Member States towards the national energy  efficiency targets for 2020 and towards the implementation of the Energy Efficiency Directive  as required by Article 24(3) of the Energy Efficiency Directive 2012/27/EU, Brussels.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5.23469924926758" w:lineRule="auto"/>
        <w:ind w:left="953.4117889404297" w:right="1125.83984375" w:hanging="415.79986572265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 Hart, Z.,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The benefits of benchmarking building performance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Building Performance Policy,  Institute for Market Transformation (IMT) and Pacific Coast Collaborative, 2015.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146484375" w:line="242.57057189941406" w:lineRule="auto"/>
        <w:ind w:left="958.9919281005859" w:right="1123.5595703125" w:hanging="421.3800048828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Sustainability Benchmarking Toolkit for Commercial Buildings, Principles for best practice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The  Building Centre, London, 2010.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11328125" w:line="242.56922721862793" w:lineRule="auto"/>
        <w:ind w:left="947.4718475341797" w:right="1123.438720703125" w:hanging="409.8599243164062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 Nemry, F., Uihlein, A., Colodel, C., Wittstock, B., Braune, A., Wetzel, C., Hasan, I., Niemeier,  S., Frech, Y., Kreißig, J., Gallon, 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Environmental Improvement Potentials of Residential  Buildings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(IMPRO-Building), EUR 23493 EN, Office for Official Publications of the European  Communities, 2008, doi:10.2791/38942.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34765625" w:line="242.56908416748047" w:lineRule="auto"/>
        <w:ind w:left="537.6119232177734" w:right="1123.439941406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 Hernandez, P., Bosdevigie, B.,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Benchmarking criteria for sustainable buildings in Europe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Deliverable 5.2, SuPerBuildings Project, 7</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th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Framework Program, EC, Brussels, 2012.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42.56922721862793" w:lineRule="auto"/>
        <w:ind w:left="938.1118011474609" w:right="1125.83984375" w:hanging="400.4998779296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 EN 15978:2011,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Sustainability of construction works - Assessment of environmental  performance of buildings - Calculation method</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CEN, Brussels.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9638671875" w:line="244.1246795654297" w:lineRule="auto"/>
        <w:ind w:left="944.7718048095703" w:right="1123.67919921875" w:hanging="407.1598815917969"/>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 Li, G., Jin, H., Wang, H., ‘Enhancing performance of buildings in seismic zone with structural  metal dampers’,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Proceedings of the Second International Conference on Performance-based  and Life-cycle Structural Engineering (PLSE 2015)</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Brisbane, Australia, 2015, pp.69-78.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658203125" w:line="242.56988525390625" w:lineRule="auto"/>
        <w:ind w:left="537.6119232177734" w:right="1124.39941406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 Global Seismic Hazard Assessment Program, online access through  http://www.seismo.ethz.ch/static/GSHAP/index.html (last accessed on 14/12/2017).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2.56988525390625" w:lineRule="auto"/>
        <w:ind w:left="946.2117767333984" w:right="1128.701171875" w:hanging="408.599853515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 EN 1998-1:2005, Eurocode 8: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Design of structures for earthquake resistance. Part 1: General  rules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seismic actions and rules for buildings, CEN, Brussels.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3.4581756591797" w:lineRule="auto"/>
        <w:ind w:left="943.6917877197266" w:right="1131.07666015625" w:hanging="406.0798645019531"/>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 Formichi, P., Danciu, L., Akkar, S., Kale, O., Malakatas, N., Croce, P., Nikolov, D., Gocheva,  A., Luechinger, P., Fardis, M., Yakut, A., Apostolska, R., Sousa, M., Dimova, S., A. Pinto, A.,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Eurocodes: background and applications. Elaboration of maps for climatic and seismic actions  for structural design with the Eurocodes,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EUR 28217 EN, 2016, doi:10.2788/534912.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464599609375" w:line="242.56957054138184" w:lineRule="auto"/>
        <w:ind w:left="946.2117767333984" w:right="1123.43994140625" w:hanging="408.599853515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[13] Santos, P., Simoes da Silva, L., Ungureanu, V.,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Energy efficiency of light-weight steel-framed  buildings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Technical committee 14 – Sustainability &amp; Eco-efficiency of steel construction, 1</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st</w:t>
      </w:r>
      <w:r w:rsidDel="00000000" w:rsidR="00000000" w:rsidRPr="00000000">
        <w:rPr>
          <w:rFonts w:ascii="Verdana" w:cs="Verdana" w:eastAsia="Verdana" w:hAnsi="Verdan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edition, ECCS, 2012, No. 129.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3291015625" w:line="242.56988525390625" w:lineRule="auto"/>
        <w:ind w:left="950.5318450927734" w:right="1124.580078125" w:hanging="412.91992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[14] Peel, C., Finlayson, B., McMahon, T., ‘Updated world map of the Köppen-Geiger climate  classification’,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Hydrol. Earth Syst. Sci</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11, 2007, pp. 1633-1644.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256103515625" w:line="243.013916015625" w:lineRule="auto"/>
        <w:ind w:left="947.4718475341797" w:right="1123.85986328125" w:hanging="409.8599243164062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 Church, J., Clark, P., Cazenave, A., Gregory, J., Jevrejeva, S., Levermann, A., Merrifield, M.,  Milne, G., Nerem, R., Nunn, P., Payne, A., Pfeffer, W., Stammer, D., Unnikrishnan, A.,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Sea  Level Change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In: Climate Change 2013: The Physical Science Basis. Contribution of Working  Group I to the Fifth Assessment Report of the Intergovernmental Panel on Climate Change  [Stocker, T.F., D. Qin, G.-K. Plattner, M. Tignor, S.K. Allen, J. Boschung, A. Nauels, Y. Xia, V.  Bex and P.M. Midgley (eds.)]. Cambridge University Press, Cambridge, United Kingdom and  New York, NY, USA, 2013.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791015625" w:line="242.56957054138184" w:lineRule="auto"/>
        <w:ind w:left="950.5318450927734" w:right="1132.158203125" w:hanging="412.91992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 Yoon, I., Copuroglu, O., Park, K., ‘Effect of global climatic change on carbonation progress of  concrete’,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Atmospheric Environment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41, 2007, pp. 7274–7285.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65869140625" w:line="242.56988525390625" w:lineRule="auto"/>
        <w:ind w:left="956.6518402099609" w:right="1129.4580078125" w:hanging="419.039916992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 Stewart, M., Wang, X., Nguyen, M., ‘Climate change impact and risks of concrete  infrastructure deterioration’,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Eng. Struct</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33, 2011, pp. 1326–1337.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243896484375" w:line="242.56957054138184" w:lineRule="auto"/>
        <w:ind w:left="950.5318450927734" w:right="1131.439208984375" w:hanging="412.91992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[18] Saha, M., Eckelman, M., ‘Urban scale mapping of concrete degradation from projected climate  change’,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Urban Climate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 2014, pp. 101–114.</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129028320312" w:line="240" w:lineRule="auto"/>
        <w:ind w:left="4942.206344604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33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943.6917877197266" w:right="1133.23974609375" w:hanging="406.0798645019531"/>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[19] Cole, I., Paterson, D., ‘Possible effects of climate change on atmospheric corrosion in  Australia’,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Corrosion Engineering, Science and Technology</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45, 2010, pp. 19–26.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12841796875" w:line="242.56988525390625" w:lineRule="auto"/>
        <w:ind w:left="950.5318450927734" w:right="1123.85986328125" w:hanging="412.91992187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 Nguyen, M., Wang, X., Leicester, R., ‘An assessment of climate change effects on atmospheric  corrosion rates of steel structures’</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 Corrosion Engineering, Science and Technology</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vol. 48,  no. 5, 2013, pp. 359-369.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30.28698444366455" w:lineRule="auto"/>
        <w:ind w:left="947.4718475341797" w:right="1125.2392578125" w:hanging="409.8599243164062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[21] Peng, B., Lin, B. and Zhu, Y., ‘Life cycle energy consumption and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emissions of buildings:  an overview and case studies in Beijing’,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SB11 Helsinki World Sustainable Building Conference  Proceedings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Helsinki 18-21 October 2011, Theme 1 World Resources, 2011, pp. 154-163.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10302734375" w:line="242.56922721862793" w:lineRule="auto"/>
        <w:ind w:left="946.3918304443359" w:right="1130.260009765625" w:hanging="408.7799072265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 CSTB,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Capitalisation des résultats de l’expérimentation HQE Performance. Rapport  intermédiaire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DEE/EICV - 14.027, 235 pages+ 2 ANNEXES (in French), 2013.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357421875" w:line="242.56922721862793" w:lineRule="auto"/>
        <w:ind w:left="946.0918426513672" w:right="1124.580078125" w:hanging="408.4799194335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[23] Sartori, I., Hestnes, A., ‘Energy use in the life cycle of conventional and low-energy buildings:  A review article’,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Energy and Buildings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39, 2007, pp. 249–257.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5.0994110107422" w:lineRule="auto"/>
        <w:ind w:left="949.0918731689453" w:right="1124.580078125" w:hanging="411.4799499511719"/>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 International Energy Agency,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Evaluation of Embodied Energy and CO</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eq. for Building  Construction (Annex 57) – Subtask 4: Case studies and recommendations for the reduction of  embodied energy and embodied greenhouse gas emissions from buildings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Institute for  Building Environment and Energy Conservation</w:t>
      </w:r>
      <w:r w:rsidDel="00000000" w:rsidR="00000000" w:rsidRPr="00000000">
        <w:rPr>
          <w:rFonts w:ascii="Verdana" w:cs="Verdana" w:eastAsia="Verdana" w:hAnsi="Verdana"/>
          <w:b w:val="0"/>
          <w:bCs w:val="0"/>
          <w:i w:val="0"/>
          <w:iCs w:val="0"/>
          <w:smallCaps w:val="0"/>
          <w:strike w:val="0"/>
          <w:color w:val="000000"/>
          <w:sz w:val="18.959999084472656"/>
          <w:szCs w:val="18.959999084472656"/>
          <w:u w:val="none"/>
          <w:shd w:fill="auto" w:val="clear"/>
          <w:vertAlign w:val="baseline"/>
          <w:rtl w:val="0"/>
        </w:rPr>
        <w:t xml:space="preserve">, Japan,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2016.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65625" w:line="242.57057189941406" w:lineRule="auto"/>
        <w:ind w:left="957.5518035888672" w:right="1130.19775390625" w:hanging="419.9398803710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 deQo – database of embodied Quantity outputs, online access through  https://www.carbondeqo.com/database/graph (last accessed in 15/12/2017).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09912109375" w:line="242.57022857666016" w:lineRule="auto"/>
        <w:ind w:left="944.7718048095703" w:right="1124.3408203125" w:hanging="407.1598815917969"/>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[26] Holopainen, R., Vares, S., Ritola, J., Pulakka, S.,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Maalämmön ja viilennyksen hyödyntäminen  asuinkerrostalon lämmityksessä ja jäähdytyksessä</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Espoo, VTT Tiedotteita – Research Notes  2546, 2010 (in Finnish).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2255859375" w:line="242.56922721862793" w:lineRule="auto"/>
        <w:ind w:left="950.7118988037109" w:right="1126.319580078125" w:hanging="413.099975585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[27] Kang, G., Kim, T., Kim, Y-W., Cho, H., Kang, K-I., ‘Statistical analysis of embodied carbon  emission for building construction’,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Energy and Buildings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101, 2015, pp. 326-333.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9638671875" w:line="242.56988525390625" w:lineRule="auto"/>
        <w:ind w:left="947.6519012451172" w:right="1132.3388671875" w:hanging="410.0399780273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[28] Ramesh, T., Prakash, R., Shukla, K., ‘Life cycle energy analysis of buildings: An overview’,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Energy and buildings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42, 2010, pp. 1592-1600.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3544921875" w:line="219.18924808502197" w:lineRule="auto"/>
        <w:ind w:left="537.6119232177734" w:right="1126.2597656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[29] Yokoo, N., Ito, N., Oka, T., ‘Embodied energy and embodied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associated with buildings  based on detail analysis and simple analysis’, in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proceedings of SB14 World</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Barcelona, 2014.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065185546875" w:line="219.18924808502197" w:lineRule="auto"/>
        <w:ind w:left="955.5718231201172" w:right="1184.16015625" w:hanging="417.95989990234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[30] Kaethner, S., Burridge, J., ‘Embodied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of structural frames’,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The Structural Engineer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90(5), 2012, pp. 33–40.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066162109375" w:line="230.2873420715332" w:lineRule="auto"/>
        <w:ind w:left="951.4318084716797" w:right="1124.16015625" w:hanging="413.8198852539062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[31] Kim, S., Moon, J-H., Shin, Y., Kim, G-H., Seo, D-S., ‘Life Comparative Analysis of Energy  Consumption and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Emissions of Different Building Structural Frame Types’,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The Scientific  World Journal</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Vol. 2013, Article ID 175702, 5 pages.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97900390625" w:line="242.56988525390625" w:lineRule="auto"/>
        <w:ind w:left="957.5518035888672" w:right="1132.696533203125" w:hanging="419.9398803710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[32] Dimoudi, A., Tompa, C., ‘Energy and environmental indicators related to construction of office  buildings’,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Resour. Conserv. Recycl</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53 (1–2), 2008, pp. 86-95.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28662109375" w:line="230.28728485107422" w:lineRule="auto"/>
        <w:ind w:left="950.5318450927734" w:right="1123.9794921875" w:hanging="412.91992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[33] Ji, C., Hong, T., Park, H., ‘Comparative analysis of decision-making methods for integrating  cost and 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emission – focus on building structural design’,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Energy Build</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72, 2014, pp. 186- 194.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91552734375" w:line="242.56988525390625" w:lineRule="auto"/>
        <w:ind w:left="947.2917938232422" w:right="1131.07666015625" w:hanging="409.67987060546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[34] Nadoushani, Z., Akbarnezhad, A., ‘Effects of structural system on the life cycle carbon  footprint of buildings’,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Energy and Buildings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102, 2015, pp. 337-346.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9638671875" w:line="243.90249252319336" w:lineRule="auto"/>
        <w:ind w:left="947.4718475341797" w:right="1125.419921875" w:hanging="409.8599243164062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[35] Li, S., ‘Embodied Environmental burdens of wood structure in Taiwan compared with  reinforced concrete and steel structures with various recovery rates’,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Applied Mechanics and  Materials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Volumes 174-177, 2012, pp. 202–210.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1290283203125" w:line="242.56988525390625" w:lineRule="auto"/>
        <w:ind w:left="953.0518341064453" w:right="1295.80078125" w:hanging="415.4399108886719"/>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[36] Shang, C., Chu, C., and Zhang, Z., ‘Quantitative Assessment on Carbon Emission of Different  Structures in Building Life Cycle’,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Building Science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27(12), 2012, pp. 66-70.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65869140625" w:line="242.56957054138184" w:lineRule="auto"/>
        <w:ind w:left="947.4718475341797" w:right="1128.759765625" w:hanging="409.85992431640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[37] Canadian Wood Council (CWC),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IBS4—Sustainability and Life Cycle Analysis for Residential  Buildings [EB/OL]</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Available online: </w:t>
      </w:r>
      <w:r w:rsidDel="00000000" w:rsidR="00000000" w:rsidRPr="00000000">
        <w:rPr>
          <w:rFonts w:ascii="Verdana" w:cs="Verdana" w:eastAsia="Verdana" w:hAnsi="Verdana"/>
          <w:b w:val="0"/>
          <w:bCs w:val="0"/>
          <w:i w:val="0"/>
          <w:iCs w:val="0"/>
          <w:smallCaps w:val="0"/>
          <w:strike w:val="0"/>
          <w:color w:val="0000ff"/>
          <w:sz w:val="18"/>
          <w:szCs w:val="18"/>
          <w:u w:val="single"/>
          <w:shd w:fill="auto" w:val="clear"/>
          <w:vertAlign w:val="baseline"/>
          <w:rtl w:val="0"/>
        </w:rPr>
        <w:t xml:space="preserve">http://cwc.ca/wp-content/uploads/publications IBS4_Sustainability_SMC_v2.pdf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(accessed on September 2017).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256103515625" w:line="242.79192924499512" w:lineRule="auto"/>
        <w:ind w:left="955.4518890380859" w:right="1125.2392578125" w:hanging="417.839965820312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[38] Junnila, S., Horvath, A., ‘Environmental Sensitivity Analysis of the Life-cycle of an Office  Building’, In: Sarja A. (editor),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Proceedings of Integrated Lifetime Engineering of Buildings and  Civil Infrastructures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(ILCDES 2003), 2003, pp. 1001-1006.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4603271484375" w:line="242.56957054138184" w:lineRule="auto"/>
        <w:ind w:left="953.8318634033203" w:right="1125.95947265625" w:hanging="416.2199401855469"/>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[39] Thinkstep AG. 2017. Leinfelden-Echterdingen GaBi software-System and Database for Life  Cycle Engineering 1992-2017 (version 8.1.0.29).</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4129028320312" w:line="240" w:lineRule="auto"/>
        <w:ind w:left="4942.206344604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34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948.6118316650391" w:right="1128.34228515625" w:hanging="410.9999084472656"/>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[40] SteelConstruction.info,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End of life LCA and embodied carbon data for common framing  materials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available online in </w:t>
      </w:r>
      <w:r w:rsidDel="00000000" w:rsidR="00000000" w:rsidRPr="00000000">
        <w:rPr>
          <w:rFonts w:ascii="Verdana" w:cs="Verdana" w:eastAsia="Verdana" w:hAnsi="Verdana"/>
          <w:b w:val="0"/>
          <w:bCs w:val="0"/>
          <w:i w:val="0"/>
          <w:iCs w:val="0"/>
          <w:smallCaps w:val="0"/>
          <w:strike w:val="0"/>
          <w:color w:val="0000ff"/>
          <w:sz w:val="18"/>
          <w:szCs w:val="18"/>
          <w:u w:val="single"/>
          <w:shd w:fill="auto" w:val="clear"/>
          <w:vertAlign w:val="baseline"/>
          <w:rtl w:val="0"/>
        </w:rPr>
        <w:t xml:space="preserve">https://www.steelconstruction.info/images/d/d6/C40_CEM_I.pdf</w:t>
      </w:r>
      <w:r w:rsidDel="00000000" w:rsidR="00000000" w:rsidRPr="00000000">
        <w:rPr>
          <w:rFonts w:ascii="Verdana" w:cs="Verdana" w:eastAsia="Verdana" w:hAnsi="Verdana"/>
          <w:b w:val="0"/>
          <w:bCs w:val="0"/>
          <w:i w:val="0"/>
          <w:iCs w:val="0"/>
          <w:smallCaps w:val="0"/>
          <w:strike w:val="0"/>
          <w:color w:val="0000ff"/>
          <w:sz w:val="18"/>
          <w:szCs w:val="1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(last accessed in 15/12/2017).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13818359375" w:line="242.56922721862793" w:lineRule="auto"/>
        <w:ind w:left="968.2318878173828" w:right="1125.360107421875" w:hanging="430.6199645996094"/>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[41] The International EPD System, http://www.environdec.com/en/ (last accessed in  19/12/2017).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2.57057189941406" w:lineRule="auto"/>
        <w:ind w:left="537.6119232177734" w:right="1123.980712890625"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[42] Erlandsson, M., Zetterberg, L.,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Accounting of biogenic carbon in attributional LCA – including  temporary storage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IVL Swedish Environmental Research Institute Ltd, Stockholm, 2017.</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21142578125" w:line="240" w:lineRule="auto"/>
        <w:ind w:left="4942.206344604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8718414306641"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List of abbreviations and definitions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48.13633918762207" w:lineRule="auto"/>
        <w:ind w:left="519.1414642333984" w:right="3801.3580322265625"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ADP</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elements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Abiotic Resource Depletion Potential for elements ADP</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fossil fuels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Abiotic Resource Depletion Potential of fossil fuels AP Acidification potential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170898437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BoM Bill of Materials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527.7071380615234"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C2G Cradle-to-grave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0" w:lineRule="auto"/>
        <w:ind w:left="527.7071380615234"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C2Gt Cradle-to-gate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15429687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EDP Environmental Product Declaration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EP Eutrophication potential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3344726562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FW Use of net fresh water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527.7071380615234"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GFA Gross Floor Area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240" w:lineRule="auto"/>
        <w:ind w:left="527.7071380615234"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GWP Global Warming Potential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364.91326332092285" w:lineRule="auto"/>
        <w:ind w:left="527.7071380615234" w:right="3595.8447265625"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GWP1 Global Warming Potential including biogenic carbon GWP2 Global Warming Potential excluding biogenic carbon HR High Rise buildings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493164062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HWD Hazardous waste disposed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LCA Life Cycle Analysis/Assessment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MF Multi-Family buildings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315429687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NFA Net floor area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NHWD Non-hazardous waste disposed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408203125" w:line="366.11806869506836" w:lineRule="auto"/>
        <w:ind w:left="536.0735321044922" w:right="3653.7506103515625" w:hanging="8.366394042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ODP Depletion potential of the stratospheric ozone layer PE Primary Energy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634765625" w:line="240" w:lineRule="auto"/>
        <w:ind w:left="536.07353210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PEF Product Environmental Footprint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364.31236267089844" w:lineRule="auto"/>
        <w:ind w:left="536.0735321044922" w:right="2164.6136474609375"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PENRM Non-renewable primary energy resources used as raw materials PENRT Total use of non-renewable primary energy resources PERM Primary energy resources used as raw materials PERT Total use of renewable primary energy resources POCP Formation potential of tropospheric ozone photochemical oxidants RWD Radioactive waste disposed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435791015625" w:line="240" w:lineRule="auto"/>
        <w:ind w:left="529.499893188476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SI Single family houses</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733642578125" w:line="240" w:lineRule="auto"/>
        <w:ind w:left="4942.206344604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36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8718414306641"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List of figures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64.3111038208008" w:lineRule="auto"/>
        <w:ind w:left="535.0774383544922" w:right="1196.910400390625" w:firstLine="0"/>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Graduated approach for benchmarking of buildings (based in [5]) ................ 9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Scope of the LCA of buildings according to CEN TC350 standards [8] ...........11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3.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‘Conventional’ and ‘best’ values ...............................................................12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5.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Seismic zone maps adopted by EU Member States [12] ..............................14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6.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Köppen-Geiger climate classification in Europe [14] ...................................16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537109375" w:line="234.38754558563232" w:lineRule="auto"/>
        <w:ind w:left="534.4799041748047" w:right="1196.910400390625" w:firstLine="0.59753417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7.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Mean embodied and operational GWP values (in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for all  buildings in the three climatic areas ........................................................................16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14111328125" w:line="364.3117332458496" w:lineRule="auto"/>
        <w:ind w:left="535.0774383544922" w:right="1196.910400390625"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8.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PE values (in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MJ/m</w:t>
      </w:r>
      <w:r w:rsidDel="00000000" w:rsidR="00000000" w:rsidRPr="00000000">
        <w:rPr>
          <w:rFonts w:ascii="Verdana" w:cs="Verdana" w:eastAsia="Verdana" w:hAnsi="Verdan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for all building .....................................................17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9.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Frequency of flooding events for a mean sea level rise of 0.5 m [15] ...........18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9296875" w:line="245.68408012390137" w:lineRule="auto"/>
        <w:ind w:left="526.7110443115234" w:right="1196.910400390625" w:firstLine="8.366394042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10.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Estimated carbonation depth for a building in Boston constructed in 2000,  according to different climatic scenarios (extracted from [18]) ...................................18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6064453125" w:line="363.7089729309082" w:lineRule="auto"/>
        <w:ind w:left="535.0774383544922" w:right="1196.910400390625"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11.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Embodied carbon from Annex 57 case studies (extracted from [24]) ..........22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Embodied energy from Annex 57 case studies (extracted from [24])..........22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4541015625" w:line="232.09088802337646" w:lineRule="auto"/>
        <w:ind w:left="534.4799041748047" w:right="1196.910400390625" w:firstLine="0.59753417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13.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GWP1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for single family houses (SI) and multi-family  buildings (MF) ......................................................................................................28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11181640625" w:line="232.0914602279663" w:lineRule="auto"/>
        <w:ind w:left="534.4799041748047" w:right="1196.910400390625" w:firstLine="0.59753417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14.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GWP2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for single family houses (SI) and multi-family  buildings (MF) ......................................................................................................29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04736328125" w:line="240" w:lineRule="auto"/>
        <w:ind w:left="535.077438354492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15.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MJ/m</w:t>
      </w:r>
      <w:r w:rsidDel="00000000" w:rsidR="00000000" w:rsidRPr="00000000">
        <w:rPr>
          <w:rFonts w:ascii="Verdana" w:cs="Verdana" w:eastAsia="Verdana" w:hAnsi="Verdan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for single family houses (SI) and multi-family buildings (MF) 29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32.02990531921387" w:lineRule="auto"/>
        <w:ind w:left="519.1414642333984" w:right="1196.910400390625"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16.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GWP1 and GWP2 (in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for all types of buildings (Modules A1- A3) .....................................................................................................................30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04736328125" w:line="355.15231132507324" w:lineRule="auto"/>
        <w:ind w:left="535.0774383544922" w:right="1196.910400390625" w:firstLine="0"/>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17.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PE (in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MJ/m</w:t>
      </w:r>
      <w:r w:rsidDel="00000000" w:rsidR="00000000" w:rsidRPr="00000000">
        <w:rPr>
          <w:rFonts w:ascii="Verdana" w:cs="Verdana" w:eastAsia="Verdana" w:hAnsi="Verdan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for all types of buildings (Modules A1-A3) .......................30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18.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Comparison of benchmarks for GWP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kg CO</w:t>
      </w:r>
      <w:r w:rsidDel="00000000" w:rsidR="00000000" w:rsidRPr="00000000">
        <w:rPr>
          <w:rFonts w:ascii="Verdana" w:cs="Verdana" w:eastAsia="Verdana" w:hAnsi="Verdana"/>
          <w:b w:val="0"/>
          <w:bCs w:val="0"/>
          <w:i w:val="1"/>
          <w:iCs w:val="1"/>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...............................31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Figure 19.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Comparison of benchmarks for PE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MJ/m</w:t>
      </w:r>
      <w:r w:rsidDel="00000000" w:rsidR="00000000" w:rsidRPr="00000000">
        <w:rPr>
          <w:rFonts w:ascii="Verdana" w:cs="Verdana" w:eastAsia="Verdana" w:hAnsi="Verdana"/>
          <w:b w:val="0"/>
          <w:bCs w:val="0"/>
          <w:i w:val="1"/>
          <w:iCs w:val="1"/>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.yr</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)..........................................31</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8524169921875" w:line="240" w:lineRule="auto"/>
        <w:ind w:left="4942.206344604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37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8718414306641"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List of tables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64.91326332092285" w:lineRule="auto"/>
        <w:ind w:left="520.5359649658203" w:right="1196.910400390625" w:firstLine="0"/>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1.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Indicators describing environmental impacts and I/O flows [8] .....................12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Share of embodied GWP and embodied PE in relation to global impacts .........16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3.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Global results of life cycle analysis for a time period of 50 years [22] ............20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48828125" w:line="243.27552795410156" w:lineRule="auto"/>
        <w:ind w:left="522.5278472900391" w:right="1196.910400390625" w:hanging="1.99188232421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4.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Results of life cycle analysis for ‘Construction products and equipment’, for a  time period of 50 years [22] ..................................................................................20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5576171875" w:line="245.6828498840332" w:lineRule="auto"/>
        <w:ind w:left="522.5278472900391" w:right="1196.910400390625" w:hanging="1.99188232421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5.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Results of life cycle analysis for the structural system, for a time period of 50  years ..................................................................................................................20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728515625" w:line="243.27552795410156" w:lineRule="auto"/>
        <w:ind w:left="526.7110443115234" w:right="1196.910400390625" w:hanging="6.17507934570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6.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Importance of the structure (lots 2 and 3) in relation to ‘construction products  and equipment’ and global building [22]..................................................................21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13720703125" w:line="245.68408012390137" w:lineRule="auto"/>
        <w:ind w:left="535.2767181396484" w:right="1196.910400390625" w:hanging="14.74075317382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7.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Results for different construction systems – non-renewable energy (in  kwh/m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[22] ...................................................................................................21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6064453125" w:line="363.7089729309082" w:lineRule="auto"/>
        <w:ind w:left="520.5359649658203" w:right="1196.910400390625"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8.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Reference values according to different building typologies...........................23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9.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Reference values according to different structural systems ...........................24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4541015625" w:line="232.09088802337646" w:lineRule="auto"/>
        <w:ind w:left="526.7110443115234" w:right="1196.910400390625" w:hanging="6.17507934570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10.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Examples of GWP values (in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eq./declared unit) for different  construction materials...........................................................................................25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117919921875" w:line="240" w:lineRule="auto"/>
        <w:ind w:left="520.5359649658203"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11.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Number of buildings and types in each zone [6] ........................................26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34.38873291015625" w:lineRule="auto"/>
        <w:ind w:left="526.7110443115234" w:right="1196.910400390625" w:hanging="6.17507934570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12.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Statistical analysis for life cycle aggregated results [GWP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and PE (MJ/m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in Z1.......................................................................................27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122802734375" w:line="232.0914602279663" w:lineRule="auto"/>
        <w:ind w:left="526.7110443115234" w:right="1196.910400390625" w:hanging="6.17507934570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13.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Statistical analysis for life cycle aggregated results [GWP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and PE (MJ/m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in Z2.......................................................................................27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04736328125" w:line="232.09088802337646" w:lineRule="auto"/>
        <w:ind w:left="526.7110443115234" w:right="1196.910400390625" w:hanging="6.175079345703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14.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Statistical analysis for life cycle aggregated results [GWP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and PE (MJ/m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in Z3.......................................................................................28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11181640625" w:line="232.09088802337646" w:lineRule="auto"/>
        <w:ind w:left="534.0814971923828" w:right="1196.910400390625" w:hanging="13.5455322265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15.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Statistical analysis for each building type [GWP (kg CO</w:t>
      </w:r>
      <w:r w:rsidDel="00000000" w:rsidR="00000000" w:rsidRPr="00000000">
        <w:rPr>
          <w:rFonts w:ascii="Verdana" w:cs="Verdana" w:eastAsia="Verdana" w:hAnsi="Verdana"/>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eq./m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 and PE  (MJ/m</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.yr)]..........................................................................................................30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04736328125" w:line="240" w:lineRule="auto"/>
        <w:ind w:left="520.5359649658203"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Table 16.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Description of buildings from IMPRO project [6] ........................................39</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3.333740234375" w:line="240" w:lineRule="auto"/>
        <w:ind w:left="4942.206344604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38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9423370361328"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Annex 1. List of buildings used in the preliminary set of benchmarks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33984375" w:line="240" w:lineRule="auto"/>
        <w:ind w:left="520.151901245117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Table 16.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Description of buildings from IMPRO project [6]</w:t>
      </w:r>
    </w:p>
    <w:tbl>
      <w:tblPr>
        <w:tblStyle w:val="Table16"/>
        <w:tblW w:w="9063.920135498047" w:type="dxa"/>
        <w:jc w:val="left"/>
        <w:tblInd w:w="403.751907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000915527344"/>
        <w:gridCol w:w="1511.9198608398438"/>
        <w:gridCol w:w="7108.000183105469"/>
        <w:tblGridChange w:id="0">
          <w:tblGrid>
            <w:gridCol w:w="444.0000915527344"/>
            <w:gridCol w:w="1511.9198608398438"/>
            <w:gridCol w:w="7108.000183105469"/>
          </w:tblGrid>
        </w:tblGridChange>
      </w:tblGrid>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996582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Description of Building Construction System</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with wooden flooring</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199584960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Limestone/fieldstone masonry with wooden flooring</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9670410156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Limestone/fieldstone masonry, wooden flooring, flat roof</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00451660156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hollow brick flooring, pitched roof</w:t>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79992675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reinforced concrete flooring, pitched roof 20°</w:t>
            </w:r>
          </w:p>
        </w:tc>
      </w:tr>
      <w:tr>
        <w:trPr>
          <w:cantSplit w:val="0"/>
          <w:trHeight w:val="56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59924316406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Z1_SI_005</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27471923828" w:lineRule="auto"/>
              <w:ind w:left="128.64044189453125" w:right="47.017822265625" w:firstLine="1.7999267578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reinforced concrete flooring, pitched roof 20° with ins.  (new building)</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00488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reinforced concrete flooring, flat roof</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Z1_SI_006</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9.000244140625" w:right="40.980224609375" w:firstLine="1.440124511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reinforced concrete flooring, flat roof with insulation (new  building)</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0427246093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8.10028076171875" w:right="46.1181640625" w:firstLine="2.3400878906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insulated, reinforced concrete flooring, pitched roof 20° with  insulation</w:t>
            </w:r>
          </w:p>
        </w:tc>
      </w:tr>
      <w:tr>
        <w:trPr>
          <w:cantSplit w:val="0"/>
          <w:trHeight w:val="5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Z1_SI_007</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8.64044189453125" w:right="47.19970703125" w:firstLine="1.7999267578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insulated, reinforced concrete flooring, pitched roof 20°  (new building)</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Z1_SI_008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0268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frame with stone filler, reinforced concrete flooring, pitched roof</w:t>
            </w:r>
          </w:p>
        </w:tc>
      </w:tr>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Z1_MF_001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with wooden flooring</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 MF _002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Limestone/fieldstone masonry with wooden flooring</w:t>
            </w:r>
          </w:p>
        </w:tc>
      </w:tr>
      <w:tr>
        <w:trPr>
          <w:cantSplit w:val="0"/>
          <w:trHeight w:val="34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 MF _003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reinforced concrete flooring, pitched roof 20°</w:t>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 MF _004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Breeze concrete, reinforced concrete flooring, pitched roof</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Z1_MF_004</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8.64044189453125" w:right="46.83837890625" w:firstLine="1.7999267578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Breeze concrete, reinforced concrete flooring, pitched roof with insulation  (new building)</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 MF_005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Concrete wall, reinforced concrete flooring, flat roof</w:t>
            </w:r>
          </w:p>
        </w:tc>
      </w:tr>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 MF_006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insulated, reinforced concrete flooring, flat roof</w:t>
            </w:r>
          </w:p>
        </w:tc>
      </w:tr>
      <w:tr>
        <w:trPr>
          <w:cantSplit w:val="0"/>
          <w:trHeight w:val="5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Z1_MF_006</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9.000244140625" w:right="47.01904296875" w:firstLine="1.440124511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 reinforced concrete flooring, flat roof with ins. (new  building)</w:t>
            </w:r>
          </w:p>
        </w:tc>
      </w:tr>
      <w:tr>
        <w:trPr>
          <w:cantSplit w:val="0"/>
          <w:trHeight w:val="34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Z1_MF_007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Concrete wall, reinforced concrete flooring, flat roof</w:t>
            </w:r>
          </w:p>
        </w:tc>
      </w:tr>
      <w:tr>
        <w:trPr>
          <w:cantSplit w:val="0"/>
          <w:trHeight w:val="35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Z1_MF_008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insulated, reinforced concrete flooring, flat roof</w:t>
            </w:r>
          </w:p>
        </w:tc>
      </w:tr>
      <w:tr>
        <w:trPr>
          <w:cantSplit w:val="0"/>
          <w:trHeight w:val="56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Z1_MF_008</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9.000244140625" w:right="47.01904296875" w:firstLine="1.440124511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 reinforced concrete flooring, flat roof with ins. (new  building)</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Z1_HR_001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insulated, reinforced concrete flooring, flat roof</w:t>
            </w:r>
          </w:p>
        </w:tc>
      </w:tr>
      <w:tr>
        <w:trPr>
          <w:cantSplit w:val="0"/>
          <w:trHeight w:val="568.8003540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Z1_HR_001</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29.000244140625" w:right="47.01904296875" w:firstLine="1.440124511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 reinforced concrete flooring, flat roof with ins. (new  building)</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Z1_HR_002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Concrete wall, reinforced concrete flooring, flat roof</w:t>
            </w:r>
          </w:p>
        </w:tc>
      </w:tr>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with wooden flooring and pitched roof</w:t>
            </w:r>
          </w:p>
        </w:tc>
      </w:tr>
      <w:tr>
        <w:trPr>
          <w:cantSplit w:val="0"/>
          <w:trHeight w:val="34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Rubble masonry with wooden flooring and pitched roof</w:t>
            </w:r>
          </w:p>
        </w:tc>
      </w:tr>
      <w:tr>
        <w:trPr>
          <w:cantSplit w:val="0"/>
          <w:trHeight w:val="34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0268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frame with stone filler, reinforced concrete flooring, pitched roof</w:t>
            </w:r>
          </w:p>
        </w:tc>
      </w:tr>
      <w:tr>
        <w:trPr>
          <w:cantSplit w:val="0"/>
          <w:trHeight w:val="35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hollow brick flooring, pitched roof</w:t>
            </w:r>
          </w:p>
        </w:tc>
      </w:tr>
      <w:tr>
        <w:trPr>
          <w:cantSplit w:val="0"/>
          <w:trHeight w:val="34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wall, reinforced concrete flooring, pitched roof</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wall, reinforced concrete flooring, pitched roof</w:t>
            </w:r>
          </w:p>
        </w:tc>
      </w:tr>
    </w:tbl>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2063446044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39 </w:t>
      </w:r>
    </w:p>
    <w:tbl>
      <w:tblPr>
        <w:tblStyle w:val="Table17"/>
        <w:tblW w:w="9063.920135498047" w:type="dxa"/>
        <w:jc w:val="left"/>
        <w:tblInd w:w="403.751907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000915527344"/>
        <w:gridCol w:w="1511.9198608398438"/>
        <w:gridCol w:w="7108.000183105469"/>
        <w:tblGridChange w:id="0">
          <w:tblGrid>
            <w:gridCol w:w="444.0000915527344"/>
            <w:gridCol w:w="1511.9198608398438"/>
            <w:gridCol w:w="7108.000183105469"/>
          </w:tblGrid>
        </w:tblGridChange>
      </w:tblGrid>
      <w:tr>
        <w:trPr>
          <w:cantSplit w:val="0"/>
          <w:trHeight w:val="56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9.000244140625" w:right="47.738037109375" w:firstLine="1.440124511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wall, reinforced concrete flooring, pitched roof with insulation (new  building)</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4272460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Sand lime wall, reinforced concrete flooring, pitched roof</w:t>
            </w:r>
          </w:p>
        </w:tc>
      </w:tr>
      <w:tr>
        <w:trPr>
          <w:cantSplit w:val="0"/>
          <w:trHeight w:val="56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Z2_SI_007</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9.000244140625" w:right="47.918701171875" w:hanging="4.49981689453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Sand lime wall, reinforced concrete flooring, pitched roof with ins. (new  building)</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0268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frame insulated, wooden flooring, pitched roof</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Z2_SI_008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9.000244140625" w:right="42.960205078125" w:hanging="8.099975585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frame insulated, wooden flooring, pitched roof with insulation (new  building)</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with wooden flooring</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Rubble stone masonry with wooden flooring</w:t>
            </w:r>
          </w:p>
        </w:tc>
      </w:tr>
      <w:tr>
        <w:trPr>
          <w:cantSplit w:val="0"/>
          <w:trHeight w:val="34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0268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frame with stone filler, wooden flooring, pitched roof</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reinforced concrete flooring, pitched roof</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Breeze concrete insulated, reinforced concrete flooring, pitched roof</w:t>
            </w:r>
          </w:p>
        </w:tc>
      </w:tr>
      <w:tr>
        <w:trPr>
          <w:cantSplit w:val="0"/>
          <w:trHeight w:val="5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Z2_MF_005</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128.64044189453125" w:right="46.839599609375" w:firstLine="1.7999267578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Breeze concrete ins., reinforced concrete flooring, pitched roof with ins.  (new building)</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insulated, reinforced concrete flooring, pitched roof</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Z2_MF_006</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9.000244140625" w:right="47.19970703125" w:firstLine="1.440124511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ins., reinforced concrete flooring, pitched roof with ins. (new  building)</w:t>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04272460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Sand lime wall insulated, reinforced concrete flooring, pitched roof</w:t>
            </w:r>
          </w:p>
        </w:tc>
      </w:tr>
      <w:tr>
        <w:trPr>
          <w:cantSplit w:val="0"/>
          <w:trHeight w:val="5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Z2_MF_007</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9.000244140625" w:right="47.379150390625" w:hanging="4.49981689453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Sand lime wall ins., reinforced concrete flooring, pitched roof with ins. (new  building)</w:t>
            </w:r>
          </w:p>
        </w:tc>
      </w:tr>
      <w:tr>
        <w:trPr>
          <w:cantSplit w:val="0"/>
          <w:trHeight w:val="34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 MF_008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Concrete wall, reinforced concrete flooring, pitched roof</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Z2_HR_001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Concrete wall, reinforced concrete flooring, flat roof</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Z2_HR_002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insulated, reinforced concrete flooring, flat roof</w:t>
            </w:r>
          </w:p>
        </w:tc>
      </w:tr>
      <w:tr>
        <w:trPr>
          <w:cantSplit w:val="0"/>
          <w:trHeight w:val="5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Z2_HR_002</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9.000244140625" w:right="47.01904296875" w:firstLine="1.440124511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 reinforced concrete flooring, flat roof with ins. (new  building)</w:t>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Z3_SI_001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with wooden flooring and pitched roof</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Z3_SI_002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wall, reinforced concrete flooring, pitched roof</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Z3_SI_003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0268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wall, wooden flooring, pitched roof</w:t>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Z3_SI_004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0268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wall and brick facade, reinforced concrete flooring, pitched roof</w:t>
            </w:r>
          </w:p>
        </w:tc>
      </w:tr>
      <w:tr>
        <w:trPr>
          <w:cantSplit w:val="0"/>
          <w:trHeight w:val="3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Z3_SI_005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Breeze concrete wall, breeze concrete block flooring, pitched roof</w:t>
            </w:r>
          </w:p>
        </w:tc>
      </w:tr>
      <w:tr>
        <w:trPr>
          <w:cantSplit w:val="0"/>
          <w:trHeight w:val="34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Z3_SI_006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wall, reinforced concrete flooring, pitched roof</w:t>
            </w:r>
          </w:p>
        </w:tc>
      </w:tr>
      <w:tr>
        <w:trPr>
          <w:cantSplit w:val="0"/>
          <w:trHeight w:val="56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Z3_SI_006</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29.000244140625" w:right="47.738037109375" w:firstLine="1.440124511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wall, reinforced concrete flooring, pitched roof with insulation (new  building)</w:t>
            </w:r>
          </w:p>
        </w:tc>
      </w:tr>
      <w:tr>
        <w:trPr>
          <w:cantSplit w:val="0"/>
          <w:trHeight w:val="34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Z3_SI_007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0268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frame insulated, wooden flooring, pitched roof</w:t>
            </w:r>
          </w:p>
        </w:tc>
      </w:tr>
      <w:tr>
        <w:trPr>
          <w:cantSplit w:val="0"/>
          <w:trHeight w:val="568.8003540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Z3_SI_007</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29.000244140625" w:right="47.557373046875" w:hanging="8.099975585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frame insulated, wooden flooring, pitched roof with insulation (new  building)</w:t>
            </w:r>
          </w:p>
        </w:tc>
      </w:tr>
      <w:tr>
        <w:trPr>
          <w:cantSplit w:val="0"/>
          <w:trHeight w:val="3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with wooden flooring</w:t>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Breeze concrete insulated, reinforced concrete flooring, pitched roof</w:t>
            </w:r>
          </w:p>
        </w:tc>
      </w:tr>
      <w:tr>
        <w:trPr>
          <w:cantSplit w:val="0"/>
          <w:trHeight w:val="35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0268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wall brick façade, reinforced concrete flooring, pitched roof</w:t>
            </w:r>
          </w:p>
        </w:tc>
      </w:tr>
      <w:tr>
        <w:trPr>
          <w:cantSplit w:val="0"/>
          <w:trHeight w:val="34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reinforced concrete flooring, pitched roof</w:t>
            </w:r>
          </w:p>
        </w:tc>
      </w:tr>
      <w:tr>
        <w:trPr>
          <w:cantSplit w:val="0"/>
          <w:trHeight w:val="569.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7135925293" w:lineRule="auto"/>
              <w:ind w:left="129.000244140625" w:right="46.297607421875" w:firstLine="1.440124511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Breeze and reinforced concrete wall, reinforced concrete flooring, pitched  roof</w:t>
            </w:r>
          </w:p>
        </w:tc>
      </w:tr>
    </w:tbl>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3.441696166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40</w:t>
      </w:r>
    </w:p>
    <w:tbl>
      <w:tblPr>
        <w:tblStyle w:val="Table18"/>
        <w:tblW w:w="9063.920135498047" w:type="dxa"/>
        <w:jc w:val="left"/>
        <w:tblInd w:w="403.751907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000915527344"/>
        <w:gridCol w:w="1511.9198608398438"/>
        <w:gridCol w:w="7108.000183105469"/>
        <w:tblGridChange w:id="0">
          <w:tblGrid>
            <w:gridCol w:w="444.0000915527344"/>
            <w:gridCol w:w="1511.9198608398438"/>
            <w:gridCol w:w="7108.000183105469"/>
          </w:tblGrid>
        </w:tblGridChange>
      </w:tblGrid>
      <w:tr>
        <w:trPr>
          <w:cantSplit w:val="0"/>
          <w:trHeight w:val="35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026855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wall insulated, wooden flooring, pitched roof</w:t>
            </w:r>
          </w:p>
        </w:tc>
      </w:tr>
      <w:tr>
        <w:trPr>
          <w:cantSplit w:val="0"/>
          <w:trHeight w:val="5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Z3_MF_006</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129.000244140625" w:right="47.55859375" w:hanging="8.099975585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Wooden wall insulated, wooden flooring, pitched roof with insulation (new  building)</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8399658203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insulated, reinforced concrete flooring, pitched roof</w:t>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Z3_MF_007</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78825378418" w:lineRule="auto"/>
              <w:ind w:left="128.64044189453125" w:right="45.400390625" w:firstLine="1.7999267578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masonry insulated, reinforced concrete flooring, pitched roof with ins.  (new building)</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Z3_MF_008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Concrete wall insulated, reinforced concrete flooring, flat roof</w:t>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Z3_HR_001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Concrete wall, reinforced concrete flooring, flat roof</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598632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Z3_HR_002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4036865234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insulated, reinforced concrete flooring, flat roof</w:t>
            </w:r>
          </w:p>
        </w:tc>
      </w:tr>
      <w:tr>
        <w:trPr>
          <w:cantSplit w:val="0"/>
          <w:trHeight w:val="56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superscript"/>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Z3_HR_002</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27471923828" w:lineRule="auto"/>
              <w:ind w:left="128.64044189453125" w:right="47.55859375" w:firstLine="1.7999267578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Brick cavity wall insulated, reinforced concrete flooring, flat roof with ins.  (new building)</w:t>
            </w:r>
          </w:p>
        </w:tc>
      </w:tr>
    </w:tbl>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3.441696166992"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41</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6483612060547" w:right="0" w:firstLine="0"/>
        <w:jc w:val="left"/>
        <w:rPr>
          <w:rFonts w:ascii="Verdana" w:cs="Verdana" w:eastAsia="Verdana" w:hAnsi="Verdana"/>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19.920000076293945"/>
          <w:szCs w:val="19.920000076293945"/>
          <w:u w:val="none"/>
          <w:shd w:fill="auto" w:val="clear"/>
          <w:vertAlign w:val="baseline"/>
          <w:rtl w:val="0"/>
        </w:rPr>
        <w:t xml:space="preserve">Europe Direct is a service to help you find answers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154296875" w:line="240" w:lineRule="auto"/>
        <w:ind w:left="2539.026412963867" w:right="0" w:firstLine="0"/>
        <w:jc w:val="left"/>
        <w:rPr>
          <w:rFonts w:ascii="Verdana" w:cs="Verdana" w:eastAsia="Verdana" w:hAnsi="Verdana"/>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19.920000076293945"/>
          <w:szCs w:val="19.920000076293945"/>
          <w:u w:val="none"/>
          <w:shd w:fill="auto" w:val="clear"/>
          <w:vertAlign w:val="baseline"/>
          <w:rtl w:val="0"/>
        </w:rPr>
        <w:t xml:space="preserve">to your questions about the European Union.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33984375" w:line="240" w:lineRule="auto"/>
        <w:ind w:left="3775.5977630615234"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Freephone number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 w:lineRule="auto"/>
        <w:ind w:left="3434.1158294677734" w:right="0" w:firstLine="0"/>
        <w:jc w:val="lef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00 800 6 7 8 9 10 11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0791015625" w:line="250.6461524963379" w:lineRule="auto"/>
        <w:ind w:left="747.9528045654297" w:right="1364.864501953125" w:firstLine="5.949554443359375"/>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The information given is free, as are most calls (though some operators, phone boxes or hotels may  charge you).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127685546875" w:line="240" w:lineRule="auto"/>
        <w:ind w:left="755.5103302001953"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More information on the European Union is available on the internet (</w:t>
      </w:r>
      <w:r w:rsidDel="00000000" w:rsidR="00000000" w:rsidRPr="00000000">
        <w:rPr>
          <w:rFonts w:ascii="Verdana" w:cs="Verdana" w:eastAsia="Verdana" w:hAnsi="Verdana"/>
          <w:b w:val="0"/>
          <w:bCs w:val="0"/>
          <w:i w:val="0"/>
          <w:iCs w:val="0"/>
          <w:smallCaps w:val="0"/>
          <w:strike w:val="0"/>
          <w:color w:val="0000ff"/>
          <w:sz w:val="16.079999923706055"/>
          <w:szCs w:val="16.079999923706055"/>
          <w:u w:val="single"/>
          <w:shd w:fill="auto" w:val="clear"/>
          <w:vertAlign w:val="baseline"/>
          <w:rtl w:val="0"/>
        </w:rPr>
        <w:t xml:space="preserve">http://europa.eu</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w:t>
      </w:r>
    </w:p>
    <w:tbl>
      <w:tblPr>
        <w:tblStyle w:val="Table19"/>
        <w:tblW w:w="9536.719741821289" w:type="dxa"/>
        <w:jc w:val="left"/>
        <w:tblInd w:w="358.152008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6.719741821289"/>
        <w:tblGridChange w:id="0">
          <w:tblGrid>
            <w:gridCol w:w="9536.719741821289"/>
          </w:tblGrid>
        </w:tblGridChange>
      </w:tblGrid>
      <w:tr>
        <w:trPr>
          <w:cantSplit w:val="0"/>
          <w:trHeight w:val="4006.599884033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HOW TO OBTAIN EU PUBLICATIONS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34716796875" w:line="240" w:lineRule="auto"/>
              <w:ind w:left="176.92543029785156"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Free publications: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87451171875" w:line="240" w:lineRule="auto"/>
              <w:ind w:left="178.27186584472656"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one copy: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91650390625" w:line="240" w:lineRule="auto"/>
              <w:ind w:left="446.4240264892578"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via EU Bookshop (</w:t>
            </w:r>
            <w:r w:rsidDel="00000000" w:rsidR="00000000" w:rsidRPr="00000000">
              <w:rPr>
                <w:rFonts w:ascii="Verdana" w:cs="Verdana" w:eastAsia="Verdana" w:hAnsi="Verdana"/>
                <w:b w:val="0"/>
                <w:bCs w:val="0"/>
                <w:i w:val="0"/>
                <w:iCs w:val="0"/>
                <w:smallCaps w:val="0"/>
                <w:strike w:val="0"/>
                <w:color w:val="0000ff"/>
                <w:sz w:val="16.079999923706055"/>
                <w:szCs w:val="16.079999923706055"/>
                <w:u w:val="single"/>
                <w:shd w:fill="auto" w:val="clear"/>
                <w:vertAlign w:val="baseline"/>
                <w:rtl w:val="0"/>
              </w:rPr>
              <w:t xml:space="preserve">http://bookshop.europa.eu</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464111328125" w:line="240" w:lineRule="auto"/>
              <w:ind w:left="178.27186584472656"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more than one copy or posters/maps: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446.90635681152344"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from the European Union’s representations (</w:t>
            </w:r>
            <w:r w:rsidDel="00000000" w:rsidR="00000000" w:rsidRPr="00000000">
              <w:rPr>
                <w:rFonts w:ascii="Verdana" w:cs="Verdana" w:eastAsia="Verdana" w:hAnsi="Verdana"/>
                <w:b w:val="0"/>
                <w:bCs w:val="0"/>
                <w:i w:val="0"/>
                <w:iCs w:val="0"/>
                <w:smallCaps w:val="0"/>
                <w:strike w:val="0"/>
                <w:color w:val="0000ff"/>
                <w:sz w:val="16.079999923706055"/>
                <w:szCs w:val="16.079999923706055"/>
                <w:u w:val="single"/>
                <w:shd w:fill="auto" w:val="clear"/>
                <w:vertAlign w:val="baseline"/>
                <w:rtl w:val="0"/>
              </w:rPr>
              <w:t xml:space="preserve">http://ec.europa.eu/represent_en.htm</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3.1864356994629" w:lineRule="auto"/>
              <w:ind w:left="446.90635681152344" w:right="1854.35791015625" w:hanging="2.894439697265625"/>
              <w:jc w:val="both"/>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from the delegations in non-EU countries (</w:t>
            </w:r>
            <w:r w:rsidDel="00000000" w:rsidR="00000000" w:rsidRPr="00000000">
              <w:rPr>
                <w:rFonts w:ascii="Verdana" w:cs="Verdana" w:eastAsia="Verdana" w:hAnsi="Verdana"/>
                <w:b w:val="0"/>
                <w:bCs w:val="0"/>
                <w:i w:val="0"/>
                <w:iCs w:val="0"/>
                <w:smallCaps w:val="0"/>
                <w:strike w:val="0"/>
                <w:color w:val="0000ff"/>
                <w:sz w:val="16.079999923706055"/>
                <w:szCs w:val="16.079999923706055"/>
                <w:u w:val="single"/>
                <w:shd w:fill="auto" w:val="clear"/>
                <w:vertAlign w:val="baseline"/>
                <w:rtl w:val="0"/>
              </w:rPr>
              <w:t xml:space="preserve">http://eeas.europa.eu/delegations/index_en.htm</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by contacting the Europe Direct service (</w:t>
            </w:r>
            <w:r w:rsidDel="00000000" w:rsidR="00000000" w:rsidRPr="00000000">
              <w:rPr>
                <w:rFonts w:ascii="Verdana" w:cs="Verdana" w:eastAsia="Verdana" w:hAnsi="Verdana"/>
                <w:b w:val="0"/>
                <w:bCs w:val="0"/>
                <w:i w:val="0"/>
                <w:iCs w:val="0"/>
                <w:smallCaps w:val="0"/>
                <w:strike w:val="0"/>
                <w:color w:val="0000ff"/>
                <w:sz w:val="16.079999923706055"/>
                <w:szCs w:val="16.079999923706055"/>
                <w:u w:val="single"/>
                <w:shd w:fill="auto" w:val="clear"/>
                <w:vertAlign w:val="baseline"/>
                <w:rtl w:val="0"/>
              </w:rPr>
              <w:t xml:space="preserve">http://europa.eu/europedirect/index_en.htm</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or calling 00 800 6 7 8 9 10 11 (freephone number from anywhere in the EU) (*).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1163330078125" w:line="240" w:lineRule="auto"/>
              <w:ind w:left="453.8495635986328" w:right="0" w:firstLine="0"/>
              <w:jc w:val="left"/>
              <w:rPr>
                <w:rFonts w:ascii="Verdana" w:cs="Verdana" w:eastAsia="Verdana" w:hAnsi="Verdana"/>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3.920000076293945"/>
                <w:szCs w:val="13.920000076293945"/>
                <w:u w:val="none"/>
                <w:shd w:fill="auto" w:val="clear"/>
                <w:vertAlign w:val="baseline"/>
                <w:rtl w:val="0"/>
              </w:rPr>
              <w:t xml:space="preserve">(*) The information given is free, as are most calls (though some operators, phone boxes or hotels may charge you).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536437988281" w:line="240" w:lineRule="auto"/>
              <w:ind w:left="176.92543029785156"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Priced publications: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361206054688" w:line="240" w:lineRule="auto"/>
              <w:ind w:left="172.87193298339844" w:right="0" w:firstLine="0"/>
              <w:jc w:val="left"/>
              <w:rPr>
                <w:rFonts w:ascii="Verdana" w:cs="Verdana" w:eastAsia="Verdana" w:hAnsi="Verdana"/>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 via EU Bookshop (</w:t>
            </w:r>
            <w:r w:rsidDel="00000000" w:rsidR="00000000" w:rsidRPr="00000000">
              <w:rPr>
                <w:rFonts w:ascii="Verdana" w:cs="Verdana" w:eastAsia="Verdana" w:hAnsi="Verdana"/>
                <w:b w:val="0"/>
                <w:bCs w:val="0"/>
                <w:i w:val="0"/>
                <w:iCs w:val="0"/>
                <w:smallCaps w:val="0"/>
                <w:strike w:val="0"/>
                <w:color w:val="0000ff"/>
                <w:sz w:val="16.079999923706055"/>
                <w:szCs w:val="16.079999923706055"/>
                <w:u w:val="single"/>
                <w:shd w:fill="auto" w:val="clear"/>
                <w:vertAlign w:val="baseline"/>
                <w:rtl w:val="0"/>
              </w:rPr>
              <w:t xml:space="preserve">http://bookshop.europa.eu</w:t>
            </w:r>
            <w:r w:rsidDel="00000000" w:rsidR="00000000" w:rsidRPr="00000000">
              <w:rPr>
                <w:rFonts w:ascii="Verdana" w:cs="Verdana" w:eastAsia="Verdana" w:hAnsi="Verdana"/>
                <w:b w:val="0"/>
                <w:bCs w:val="0"/>
                <w:i w:val="0"/>
                <w:iCs w:val="0"/>
                <w:smallCaps w:val="0"/>
                <w:strike w:val="0"/>
                <w:color w:val="000000"/>
                <w:sz w:val="16.079999923706055"/>
                <w:szCs w:val="16.079999923706055"/>
                <w:u w:val="none"/>
                <w:shd w:fill="auto" w:val="clear"/>
                <w:vertAlign w:val="baseline"/>
                <w:rtl w:val="0"/>
              </w:rPr>
              <w:t xml:space="preserve">).</w:t>
            </w:r>
          </w:p>
        </w:tc>
      </w:tr>
    </w:tbl>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6528320312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K</w:t>
      </w:r>
      <w:r w:rsidDel="00000000" w:rsidR="00000000" w:rsidRPr="00000000">
        <w:drawing>
          <wp:anchor allowOverlap="1" behindDoc="0" distB="19050" distT="19050" distL="19050" distR="19050" hidden="0" layoutInCell="1" locked="0" relativeHeight="0" simplePos="0">
            <wp:simplePos x="0" y="0"/>
            <wp:positionH relativeFrom="column">
              <wp:posOffset>-38861</wp:posOffset>
            </wp:positionH>
            <wp:positionV relativeFrom="paragraph">
              <wp:posOffset>19050</wp:posOffset>
            </wp:positionV>
            <wp:extent cx="213360" cy="1040892"/>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13360" cy="1040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-41909</wp:posOffset>
            </wp:positionH>
            <wp:positionV relativeFrom="paragraph">
              <wp:posOffset>14478</wp:posOffset>
            </wp:positionV>
            <wp:extent cx="219456" cy="1050036"/>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19456" cy="1050036"/>
                    </a:xfrm>
                    <a:prstGeom prst="rect"/>
                    <a:ln/>
                  </pic:spPr>
                </pic:pic>
              </a:graphicData>
            </a:graphic>
          </wp:anchor>
        </w:drawing>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141.6528320312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J</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90234375" w:line="240" w:lineRule="auto"/>
        <w:ind w:left="0" w:right="192.6367187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8046875" w:line="240" w:lineRule="auto"/>
        <w:ind w:left="0" w:right="141.6528320312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68359375" w:line="240" w:lineRule="auto"/>
        <w:ind w:left="0" w:right="141.6528320312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853515625" w:line="240" w:lineRule="auto"/>
        <w:ind w:left="0" w:right="192.6367187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1025390625" w:line="240" w:lineRule="auto"/>
        <w:ind w:left="0" w:right="139.5581054687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2</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139.5581054687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9</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0" w:lineRule="auto"/>
        <w:ind w:left="0" w:right="141.3745117187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1</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141.6528320312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4</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0" w:right="141.6528320312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5</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0" w:right="192.6367187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8681640625" w:line="240" w:lineRule="auto"/>
        <w:ind w:left="0" w:right="141.6528320312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7509765625" w:line="240" w:lineRule="auto"/>
        <w:ind w:left="0" w:right="141.6528320312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03515625" w:line="240" w:lineRule="auto"/>
        <w:ind w:left="0" w:right="192.6367187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98046875" w:line="240" w:lineRule="auto"/>
        <w:ind w:left="0" w:right="138.719482421875" w:firstLine="0"/>
        <w:jc w:val="right"/>
        <w:rPr>
          <w:rFonts w:ascii="Verdana" w:cs="Verdana" w:eastAsia="Verdana" w:hAnsi="Verdana"/>
          <w:b w:val="0"/>
          <w:bCs w:val="0"/>
          <w:i w:val="0"/>
          <w:iCs w:val="0"/>
          <w:smallCaps w:val="0"/>
          <w:strike w:val="0"/>
          <w:color w:val="ffffff"/>
          <w:sz w:val="2"/>
          <w:szCs w:val="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2"/>
          <w:szCs w:val="2"/>
          <w:u w:val="none"/>
          <w:shd w:fill="auto" w:val="clear"/>
          <w:vertAlign w:val="baseline"/>
          <w:rtl w:val="0"/>
        </w:rPr>
        <w:t xml:space="preserve">N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06005859375" w:line="240" w:lineRule="auto"/>
        <w:ind w:left="0" w:right="1672.00927734375" w:firstLine="0"/>
        <w:jc w:val="right"/>
        <w:rPr>
          <w:rFonts w:ascii="Verdana" w:cs="Verdana" w:eastAsia="Verdana" w:hAnsi="Verdana"/>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3.920000076293945"/>
          <w:szCs w:val="13.920000076293945"/>
          <w:u w:val="none"/>
          <w:shd w:fill="auto" w:val="clear"/>
          <w:vertAlign w:val="baseline"/>
          <w:rtl w:val="0"/>
        </w:rPr>
        <w:t xml:space="preserve">doi:10.2760/073513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-318769</wp:posOffset>
            </wp:positionV>
            <wp:extent cx="1302639" cy="615315"/>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302639" cy="615315"/>
                    </a:xfrm>
                    <a:prstGeom prst="rect"/>
                    <a:ln/>
                  </pic:spPr>
                </pic:pic>
              </a:graphicData>
            </a:graphic>
          </wp:anchor>
        </w:drawing>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5364379882812" w:line="240" w:lineRule="auto"/>
        <w:ind w:left="0" w:right="1365.61279296875" w:firstLine="0"/>
        <w:jc w:val="right"/>
        <w:rPr>
          <w:rFonts w:ascii="Verdana" w:cs="Verdana" w:eastAsia="Verdana" w:hAnsi="Verdana"/>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3.920000076293945"/>
          <w:szCs w:val="13.920000076293945"/>
          <w:u w:val="none"/>
          <w:shd w:fill="auto" w:val="clear"/>
          <w:vertAlign w:val="baseline"/>
          <w:rtl w:val="0"/>
        </w:rPr>
        <w:t xml:space="preserve">ISBN 978-92-79-80970-5</w:t>
      </w:r>
    </w:p>
    <w:sectPr>
      <w:type w:val="continuous"/>
      <w:pgSz w:h="16820" w:w="11900" w:orient="portrait"/>
      <w:pgMar w:bottom="0.404059998691082" w:top="379.200439453125" w:left="899.9280548095703" w:right="223.199462890625" w:header="0" w:footer="720"/>
      <w:cols w:equalWidth="0" w:num="1">
        <w:col w:space="0" w:w="10776.8724822998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7.png"/><Relationship Id="rId10" Type="http://schemas.openxmlformats.org/officeDocument/2006/relationships/image" Target="media/image24.png"/><Relationship Id="rId13" Type="http://schemas.openxmlformats.org/officeDocument/2006/relationships/image" Target="media/image22.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15" Type="http://schemas.openxmlformats.org/officeDocument/2006/relationships/image" Target="media/image30.png"/><Relationship Id="rId14" Type="http://schemas.openxmlformats.org/officeDocument/2006/relationships/image" Target="media/image26.png"/><Relationship Id="rId17" Type="http://schemas.openxmlformats.org/officeDocument/2006/relationships/image" Target="media/image20.png"/><Relationship Id="rId16" Type="http://schemas.openxmlformats.org/officeDocument/2006/relationships/image" Target="media/image2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7.png"/><Relationship Id="rId18" Type="http://schemas.openxmlformats.org/officeDocument/2006/relationships/image" Target="media/image23.png"/><Relationship Id="rId7" Type="http://schemas.openxmlformats.org/officeDocument/2006/relationships/image" Target="media/image18.png"/><Relationship Id="rId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