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RELAZIONE TECNICA: ANALISI DI IDONEITA’ TERRITORIALE PER IMPIANTI EOLICI (COMUNE DI SERMONETA)</w:t>
      </w:r>
    </w:p>
    <w:p>
      <w:pPr>
        <w:pStyle w:val="Normal"/>
        <w:bidi w:val="0"/>
        <w:jc w:val="center"/>
        <w:rPr>
          <w:b/>
          <w:bCs/>
          <w:sz w:val="22"/>
          <w:szCs w:val="22"/>
        </w:rPr>
      </w:pPr>
      <w:r>
        <w:rPr/>
      </w:r>
    </w:p>
    <w:p>
      <w:pPr>
        <w:pStyle w:val="Normal"/>
        <w:bidi w:val="0"/>
        <w:jc w:val="center"/>
        <w:rPr>
          <w:b/>
          <w:bCs/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Redatto da: Dott. Foresta Giammarco</w:t>
      </w:r>
    </w:p>
    <w:p>
      <w:pPr>
        <w:pStyle w:val="Normal"/>
        <w:bidi w:val="0"/>
        <w:jc w:val="star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Normal"/>
        <w:bidi w:val="0"/>
        <w:jc w:val="star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Qualifica/Ruolo: Dottore forestale/Analista GIS</w:t>
      </w:r>
    </w:p>
    <w:p>
      <w:pPr>
        <w:pStyle w:val="Normal"/>
        <w:bidi w:val="0"/>
        <w:jc w:val="star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Normal"/>
        <w:bidi w:val="0"/>
        <w:jc w:val="star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Data: Ottobre 2026</w:t>
      </w:r>
    </w:p>
    <w:p>
      <w:pPr>
        <w:pStyle w:val="Normal"/>
        <w:bidi w:val="0"/>
        <w:jc w:val="star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Normal"/>
        <w:bidi w:val="0"/>
        <w:jc w:val="star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CRS di progetto: EPSG 32632 (WGS 84 / UTM zone 32N)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start"/>
        <w:rPr/>
      </w:pPr>
      <w:r>
        <w:rPr>
          <w:rFonts w:ascii="Arial" w:hAnsi="Arial"/>
          <w:b/>
          <w:bCs/>
          <w:i w:val="false"/>
          <w:caps w:val="false"/>
          <w:smallCaps w:val="false"/>
          <w:color w:val="222222"/>
          <w:spacing w:val="0"/>
          <w:sz w:val="18"/>
          <w:szCs w:val="18"/>
        </w:rPr>
        <w:t>Inquadramento Generale e Obiettivi</w:t>
      </w:r>
      <w:r>
        <w:rPr>
          <w:rFonts w:ascii="Arial" w:hAnsi="Arial"/>
          <w:sz w:val="18"/>
          <w:szCs w:val="18"/>
        </w:rPr>
        <w:br/>
      </w:r>
      <w:r>
        <w:rPr>
          <w:rFonts w:ascii="Arial" w:hAnsi="Arial"/>
          <w:caps w:val="false"/>
          <w:smallCaps w:val="false"/>
          <w:color w:val="222222"/>
          <w:spacing w:val="0"/>
          <w:sz w:val="18"/>
          <w:szCs w:val="18"/>
        </w:rPr>
        <w:t>​</w:t>
      </w: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  <w:t>La presente relazione descrive la metodologia e i risultati dell'analisi di idoneità spaziale condotta sul territorio del Comune di Sermoneta (LT), finalizzata all'individuazione di aree idonee all'installazione di impianti eolici.</w:t>
      </w:r>
      <w:r>
        <w:rPr>
          <w:rFonts w:ascii="Arial" w:hAnsi="Arial"/>
          <w:sz w:val="18"/>
          <w:szCs w:val="18"/>
        </w:rPr>
        <w:br/>
      </w:r>
      <w:r>
        <w:rPr>
          <w:rFonts w:ascii="Arial" w:hAnsi="Arial"/>
          <w:caps w:val="false"/>
          <w:smallCaps w:val="false"/>
          <w:color w:val="222222"/>
          <w:spacing w:val="0"/>
          <w:sz w:val="18"/>
          <w:szCs w:val="18"/>
        </w:rPr>
        <w:t>​</w:t>
      </w: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  <w:t>L'analisi è stata sviluppata mediante un approccio di Analisi Spaziale Multi-Criterio (MCDA) basato su filtri booleani (idoneo/non idoneo). L'obiettivo primario è garantire un supporto decisionale rigoroso e replicabile, integrando la tutela dei vincoli territoriali, ambientali e paesaggistici con le esigenze tecnico-infrastrutturali per la produzione di energia da fonti rinnovabili.</w:t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hanging="0" w:start="770"/>
        <w:jc w:val="start"/>
        <w:rPr>
          <w:rFonts w:ascii="Arial" w:hAnsi="Arial"/>
          <w:b w:val="false"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start"/>
        <w:rPr/>
      </w:pPr>
      <w:r>
        <w:rPr>
          <w:rFonts w:ascii="Arial" w:hAnsi="Arial"/>
          <w:b/>
          <w:bCs/>
          <w:i w:val="false"/>
          <w:caps w:val="false"/>
          <w:smallCaps w:val="false"/>
          <w:color w:val="222222"/>
          <w:spacing w:val="0"/>
          <w:sz w:val="18"/>
          <w:szCs w:val="18"/>
        </w:rPr>
        <w:t>Dati di Partenza e Geometria di Riferimento</w:t>
      </w:r>
      <w:r>
        <w:rPr>
          <w:rFonts w:ascii="Arial" w:hAnsi="Arial"/>
          <w:sz w:val="18"/>
          <w:szCs w:val="18"/>
        </w:rPr>
        <w:br/>
      </w:r>
      <w:r>
        <w:rPr>
          <w:rFonts w:ascii="Arial" w:hAnsi="Arial"/>
          <w:caps w:val="false"/>
          <w:smallCaps w:val="false"/>
          <w:color w:val="222222"/>
          <w:spacing w:val="0"/>
          <w:sz w:val="18"/>
          <w:szCs w:val="18"/>
        </w:rPr>
        <w:t>​</w:t>
      </w: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  <w:t>Per garantire l'accuratezza metrica e l'affidabilità nei calcoli delle distanze (buffer) e delle superfici, l'intero progetto GIS è stato impostato nel Sistema di Riferimento Spaziale EPSG:32632 (WGS 84 / UTM zone 32N).  </w:t>
      </w:r>
      <w:r>
        <w:rPr>
          <w:rFonts w:ascii="Arial" w:hAnsi="Arial"/>
          <w:sz w:val="18"/>
          <w:szCs w:val="18"/>
        </w:rPr>
        <w:br/>
      </w:r>
      <w:r>
        <w:rPr>
          <w:rFonts w:ascii="Arial" w:hAnsi="Arial"/>
          <w:caps w:val="false"/>
          <w:smallCaps w:val="false"/>
          <w:color w:val="222222"/>
          <w:spacing w:val="0"/>
          <w:sz w:val="18"/>
          <w:szCs w:val="18"/>
        </w:rPr>
        <w:t>​</w:t>
      </w: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  <w:t>I dataset principali impiegati nel flusso di lavoro comprendono:</w:t>
      </w:r>
      <w:r>
        <w:rPr>
          <w:rFonts w:ascii="Arial" w:hAnsi="Arial"/>
          <w:sz w:val="18"/>
          <w:szCs w:val="18"/>
        </w:rPr>
        <w:br/>
      </w:r>
      <w:r>
        <w:rPr>
          <w:rFonts w:ascii="Arial" w:hAnsi="Arial"/>
          <w:caps w:val="false"/>
          <w:smallCaps w:val="false"/>
          <w:color w:val="222222"/>
          <w:spacing w:val="0"/>
          <w:sz w:val="18"/>
          <w:szCs w:val="18"/>
        </w:rPr>
        <w:t>​</w:t>
      </w: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  <w:t>Confine Amministrativo: Layer vettoriale dei limiti comunali di Sermoneta.  </w:t>
      </w:r>
      <w:r>
        <w:rPr>
          <w:rFonts w:ascii="Arial" w:hAnsi="Arial"/>
          <w:sz w:val="18"/>
          <w:szCs w:val="18"/>
        </w:rPr>
        <w:br/>
      </w:r>
      <w:r>
        <w:rPr>
          <w:rFonts w:ascii="Arial" w:hAnsi="Arial"/>
          <w:caps w:val="false"/>
          <w:smallCaps w:val="false"/>
          <w:color w:val="222222"/>
          <w:spacing w:val="0"/>
          <w:sz w:val="18"/>
          <w:szCs w:val="18"/>
        </w:rPr>
        <w:t>​</w:t>
      </w: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  <w:t>Modello Digitale del Terreno (DTM / Hillshade): Dato raster altimetrico per la caratterizzazione morfologica del territorio.  </w:t>
      </w:r>
      <w:r>
        <w:rPr>
          <w:rFonts w:ascii="Arial" w:hAnsi="Arial"/>
          <w:sz w:val="18"/>
          <w:szCs w:val="18"/>
        </w:rPr>
        <w:br/>
      </w:r>
      <w:r>
        <w:rPr>
          <w:rFonts w:ascii="Arial" w:hAnsi="Arial"/>
          <w:caps w:val="false"/>
          <w:smallCaps w:val="false"/>
          <w:color w:val="222222"/>
          <w:spacing w:val="0"/>
          <w:sz w:val="18"/>
          <w:szCs w:val="18"/>
        </w:rPr>
        <w:t>​</w:t>
      </w: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  <w:t>Strati dei Vincoli e delle Fasce di Rispetto: Centri abitati ed edifici isolati (distanza minima di rispetto), reti infrastrutturali e viabilità principale, vincoli idrogeologici, ambientali e paesaggistici tutelati per legge.</w:t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hanging="0" w:start="770"/>
        <w:jc w:val="start"/>
        <w:rPr>
          <w:rFonts w:ascii="Arial" w:hAnsi="Arial"/>
          <w:b w:val="false"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start"/>
        <w:rPr/>
      </w:pPr>
      <w:r>
        <w:rPr>
          <w:rFonts w:ascii="Arial" w:hAnsi="Arial"/>
          <w:b/>
          <w:bCs/>
          <w:i w:val="false"/>
          <w:caps w:val="false"/>
          <w:smallCaps w:val="false"/>
          <w:color w:val="222222"/>
          <w:spacing w:val="0"/>
          <w:sz w:val="18"/>
          <w:szCs w:val="18"/>
        </w:rPr>
        <w:t>Workflow di Geoprocessing (Metodologia)</w:t>
      </w:r>
      <w:r>
        <w:rPr>
          <w:rFonts w:ascii="Arial" w:hAnsi="Arial"/>
          <w:sz w:val="18"/>
          <w:szCs w:val="18"/>
        </w:rPr>
        <w:br/>
      </w:r>
      <w:r>
        <w:rPr>
          <w:rFonts w:ascii="Arial" w:hAnsi="Arial"/>
          <w:caps w:val="false"/>
          <w:smallCaps w:val="false"/>
          <w:color w:val="222222"/>
          <w:spacing w:val="0"/>
          <w:sz w:val="18"/>
          <w:szCs w:val="18"/>
        </w:rPr>
        <w:t>​</w:t>
      </w: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  <w:t>Il flusso di lavoro si è articolato in quattro fasi sequenziali di geoprocessing vettoriale:</w:t>
      </w:r>
      <w:r>
        <w:rPr>
          <w:rFonts w:ascii="Arial" w:hAnsi="Arial"/>
          <w:sz w:val="18"/>
          <w:szCs w:val="18"/>
        </w:rPr>
        <w:br/>
      </w:r>
      <w:r>
        <w:rPr>
          <w:rFonts w:ascii="Arial" w:hAnsi="Arial"/>
          <w:caps w:val="false"/>
          <w:smallCaps w:val="false"/>
          <w:color w:val="222222"/>
          <w:spacing w:val="0"/>
          <w:sz w:val="18"/>
          <w:szCs w:val="18"/>
        </w:rPr>
        <w:t>​</w:t>
      </w: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  <w:t>Generazione dei Buffer (Fasce di Rispetto): Creazione di zone di inedificabilità attorno agli elementi sensibili (insediamenti urbani e infrastrutture) in conformità con i requisiti normativi.</w:t>
      </w:r>
      <w:r>
        <w:rPr>
          <w:rFonts w:ascii="Arial" w:hAnsi="Arial"/>
          <w:sz w:val="18"/>
          <w:szCs w:val="18"/>
        </w:rPr>
        <w:br/>
      </w:r>
      <w:r>
        <w:rPr>
          <w:rFonts w:ascii="Arial" w:hAnsi="Arial"/>
          <w:caps w:val="false"/>
          <w:smallCaps w:val="false"/>
          <w:color w:val="222222"/>
          <w:spacing w:val="0"/>
          <w:sz w:val="18"/>
          <w:szCs w:val="18"/>
        </w:rPr>
        <w:t>​</w:t>
      </w: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  <w:t>Sovrapposizione e Differenza Spaziale (Overlay &amp; Difference): Sottrazione progressiva di tutte le aree vincolate e delle relative fasce di rispetto dall'area del confine comunale di Sermoneta.</w:t>
      </w:r>
      <w:r>
        <w:rPr>
          <w:rFonts w:ascii="Arial" w:hAnsi="Arial"/>
          <w:sz w:val="18"/>
          <w:szCs w:val="18"/>
        </w:rPr>
        <w:br/>
      </w:r>
      <w:r>
        <w:rPr>
          <w:rFonts w:ascii="Arial" w:hAnsi="Arial"/>
          <w:caps w:val="false"/>
          <w:smallCaps w:val="false"/>
          <w:color w:val="222222"/>
          <w:spacing w:val="0"/>
          <w:sz w:val="18"/>
          <w:szCs w:val="18"/>
        </w:rPr>
        <w:t>​</w:t>
      </w: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  <w:t>Dissoluzione e Pulizia Geometrica (Dissolve): Unificazione delle geometrie residue e filtraggio dei poligoni per eliminare le micro-superfici non sfruttabili dal punto di vista tecnico-impiantistico.</w:t>
      </w:r>
      <w:r>
        <w:rPr>
          <w:rFonts w:ascii="Arial" w:hAnsi="Arial"/>
          <w:sz w:val="18"/>
          <w:szCs w:val="18"/>
        </w:rPr>
        <w:br/>
      </w:r>
      <w:r>
        <w:rPr>
          <w:rFonts w:ascii="Arial" w:hAnsi="Arial"/>
          <w:caps w:val="false"/>
          <w:smallCaps w:val="false"/>
          <w:color w:val="222222"/>
          <w:spacing w:val="0"/>
          <w:sz w:val="18"/>
          <w:szCs w:val="18"/>
        </w:rPr>
        <w:t>​</w:t>
      </w: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  <w:t>Calcolo Geometrico delle Aree: Determinazione delle superfici utili residue espresse in ettari.</w:t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hanging="0" w:start="770"/>
        <w:jc w:val="start"/>
        <w:rPr>
          <w:rFonts w:ascii="Arial" w:hAnsi="Arial"/>
          <w:b w:val="false"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start"/>
        <w:rPr/>
      </w:pPr>
      <w:r>
        <w:rPr>
          <w:rFonts w:ascii="Arial" w:hAnsi="Arial"/>
          <w:b/>
          <w:bCs/>
          <w:i w:val="false"/>
          <w:caps w:val="false"/>
          <w:smallCaps w:val="false"/>
          <w:color w:val="222222"/>
          <w:spacing w:val="0"/>
          <w:sz w:val="18"/>
          <w:szCs w:val="18"/>
        </w:rPr>
        <w:t>Risultati e Sviluppi Futuri</w:t>
      </w:r>
      <w:r>
        <w:rPr>
          <w:rFonts w:ascii="Arial" w:hAnsi="Arial"/>
          <w:sz w:val="18"/>
          <w:szCs w:val="18"/>
        </w:rPr>
        <w:br/>
      </w:r>
      <w:r>
        <w:rPr>
          <w:rFonts w:ascii="Arial" w:hAnsi="Arial"/>
          <w:caps w:val="false"/>
          <w:smallCaps w:val="false"/>
          <w:color w:val="222222"/>
          <w:spacing w:val="0"/>
          <w:sz w:val="18"/>
          <w:szCs w:val="18"/>
        </w:rPr>
        <w:t>​</w:t>
      </w: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  <w:t>L'applicazione del flusso di geoprocessing ha permesso di individuare un potenziale territoriale idoneo pari a 43 ettari, localizzato nella porzione meridionale del Comune di Sermoneta.   </w:t>
      </w:r>
    </w:p>
    <w:p>
      <w:pPr>
        <w:pStyle w:val="Normal"/>
        <w:bidi w:val="0"/>
        <w:spacing w:lineRule="auto" w:line="360"/>
        <w:jc w:val="start"/>
        <w:rPr>
          <w:rFonts w:ascii="Arial" w:hAnsi="Arial"/>
          <w:b w:val="false"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</w:r>
    </w:p>
    <w:p>
      <w:pPr>
        <w:pStyle w:val="Normal"/>
        <w:bidi w:val="0"/>
        <w:spacing w:lineRule="auto" w:line="360"/>
        <w:jc w:val="end"/>
        <w:rPr>
          <w:rFonts w:ascii="Arial" w:hAnsi="Arial"/>
          <w:b w:val="false"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</w:r>
    </w:p>
    <w:p>
      <w:pPr>
        <w:pStyle w:val="Normal"/>
        <w:bidi w:val="0"/>
        <w:spacing w:lineRule="auto" w:line="360"/>
        <w:jc w:val="end"/>
        <w:rPr>
          <w:rFonts w:ascii="Arial" w:hAnsi="Arial"/>
          <w:b w:val="false"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</w:r>
    </w:p>
    <w:p>
      <w:pPr>
        <w:pStyle w:val="Normal"/>
        <w:bidi w:val="0"/>
        <w:spacing w:lineRule="auto" w:line="360"/>
        <w:jc w:val="end"/>
        <w:rPr>
          <w:rFonts w:ascii="Arial" w:hAnsi="Arial"/>
          <w:b w:val="false"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</w:r>
    </w:p>
    <w:p>
      <w:pPr>
        <w:pStyle w:val="Normal"/>
        <w:bidi w:val="0"/>
        <w:spacing w:lineRule="auto" w:line="360"/>
        <w:jc w:val="end"/>
        <w:rPr>
          <w:rFonts w:ascii="Arial" w:hAnsi="Arial"/>
          <w:b w:val="false"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</w:r>
    </w:p>
    <w:p>
      <w:pPr>
        <w:pStyle w:val="Normal"/>
        <w:bidi w:val="0"/>
        <w:spacing w:lineRule="auto" w:line="360"/>
        <w:jc w:val="end"/>
        <w:rPr>
          <w:rFonts w:ascii="Arial" w:hAnsi="Arial"/>
          <w:b w:val="false"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</w:r>
    </w:p>
    <w:p>
      <w:pPr>
        <w:pStyle w:val="Normal"/>
        <w:bidi w:val="0"/>
        <w:spacing w:lineRule="auto" w:line="360"/>
        <w:jc w:val="end"/>
        <w:rPr>
          <w:rFonts w:ascii="Arial" w:hAnsi="Arial"/>
          <w:b w:val="false"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</w:r>
    </w:p>
    <w:p>
      <w:pPr>
        <w:pStyle w:val="Normal"/>
        <w:bidi w:val="0"/>
        <w:spacing w:lineRule="auto" w:line="360"/>
        <w:jc w:val="end"/>
        <w:rPr>
          <w:rFonts w:ascii="Arial" w:hAnsi="Arial"/>
          <w:b w:val="false"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</w:r>
    </w:p>
    <w:p>
      <w:pPr>
        <w:pStyle w:val="Normal"/>
        <w:bidi w:val="0"/>
        <w:spacing w:lineRule="auto" w:line="360"/>
        <w:jc w:val="end"/>
        <w:rPr>
          <w:rFonts w:ascii="Arial" w:hAnsi="Arial"/>
          <w:b w:val="false"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</w:r>
    </w:p>
    <w:p>
      <w:pPr>
        <w:pStyle w:val="Normal"/>
        <w:bidi w:val="0"/>
        <w:spacing w:lineRule="auto" w:line="360"/>
        <w:jc w:val="end"/>
        <w:rPr>
          <w:rFonts w:ascii="Arial" w:hAnsi="Arial"/>
          <w:b w:val="false"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</w:r>
    </w:p>
    <w:p>
      <w:pPr>
        <w:pStyle w:val="Normal"/>
        <w:bidi w:val="0"/>
        <w:spacing w:lineRule="auto" w:line="360"/>
        <w:jc w:val="end"/>
        <w:rPr>
          <w:rFonts w:ascii="Arial" w:hAnsi="Arial"/>
          <w:b w:val="false"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/>
        <mc:AlternateContent>
          <mc:Choice Requires="wps">
            <w:drawing>
              <wp:inline distT="0" distB="0" distL="0" distR="0">
                <wp:extent cx="5478145" cy="4376420"/>
                <wp:effectExtent l="0" t="0" r="0" b="0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8120" cy="4376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478145" cy="3873500"/>
                                  <wp:effectExtent l="0" t="0" r="0" b="0"/>
                                  <wp:docPr id="3" name="Image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78145" cy="3873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>Figura 1: Carta di idoneità territoriale per impianti eolici nel comune di Sermoneta (Superficie totale idonea: 43 ha)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0pt;margin-top:-344.65pt;width:431.3pt;height:344.5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478145" cy="3873500"/>
                            <wp:effectExtent l="0" t="0" r="0" b="0"/>
                            <wp:docPr id="4" name="Image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78145" cy="3873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>Figura 1: Carta di idoneità territoriale per impianti eolici nel comune di Sermoneta (Superficie totale idonea: 43 ha)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360"/>
        <w:jc w:val="end"/>
        <w:rPr>
          <w:rFonts w:ascii="Arial" w:hAnsi="Arial"/>
          <w:b w:val="false"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</w:r>
    </w:p>
    <w:p>
      <w:pPr>
        <w:pStyle w:val="Normal"/>
        <w:bidi w:val="0"/>
        <w:spacing w:lineRule="auto" w:line="360"/>
        <w:jc w:val="end"/>
        <w:rPr>
          <w:rFonts w:ascii="Arial" w:hAnsi="Arial"/>
          <w:b w:val="false"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</w:r>
    </w:p>
    <w:p>
      <w:pPr>
        <w:pStyle w:val="Normal"/>
        <w:bidi w:val="0"/>
        <w:spacing w:lineRule="auto" w:line="360"/>
        <w:jc w:val="end"/>
        <w:rPr>
          <w:rFonts w:ascii="Arial" w:hAnsi="Arial"/>
          <w:b w:val="false"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  <w:b/>
          <w:bCs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222222"/>
          <w:spacing w:val="0"/>
          <w:sz w:val="18"/>
          <w:szCs w:val="18"/>
        </w:rPr>
        <w:t>SINTESI DELL’ANALISI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Comune oggetto di studio</w:t>
            </w:r>
          </w:p>
        </w:tc>
        <w:tc>
          <w:tcPr>
            <w:tcW w:w="48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Sermoneta (LT)</w:t>
            </w:r>
          </w:p>
        </w:tc>
      </w:tr>
      <w:tr>
        <w:trPr/>
        <w:tc>
          <w:tcPr>
            <w:tcW w:w="4818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Sistema di riferimento (CRS)</w:t>
            </w:r>
          </w:p>
        </w:tc>
        <w:tc>
          <w:tcPr>
            <w:tcW w:w="4819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EPSG: 32632 (WGS 84 / UTM zone 32N)</w:t>
            </w:r>
          </w:p>
        </w:tc>
      </w:tr>
      <w:tr>
        <w:trPr/>
        <w:tc>
          <w:tcPr>
            <w:tcW w:w="4818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Metodologia applicata</w:t>
            </w:r>
          </w:p>
        </w:tc>
        <w:tc>
          <w:tcPr>
            <w:tcW w:w="4819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Boolean Spatial Analysis (Vector)</w:t>
            </w:r>
          </w:p>
        </w:tc>
      </w:tr>
      <w:tr>
        <w:trPr/>
        <w:tc>
          <w:tcPr>
            <w:tcW w:w="4818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Superficie Idonea Individuata</w:t>
            </w:r>
          </w:p>
        </w:tc>
        <w:tc>
          <w:tcPr>
            <w:tcW w:w="4819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43 ha (Settore sud)</w:t>
            </w:r>
          </w:p>
        </w:tc>
      </w:tr>
    </w:tbl>
    <w:p>
      <w:pPr>
        <w:pStyle w:val="Normal"/>
        <w:bidi w:val="0"/>
        <w:spacing w:lineRule="auto" w:line="360"/>
        <w:jc w:val="start"/>
        <w:rPr>
          <w:rFonts w:ascii="Arial" w:hAnsi="Arial"/>
          <w:b w:val="false"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222222"/>
          <w:spacing w:val="0"/>
          <w:sz w:val="18"/>
          <w:szCs w:val="1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70"/>
        </w:tabs>
        <w:ind w:start="770" w:hanging="360"/>
      </w:pPr>
      <w:rPr/>
    </w:lvl>
    <w:lvl w:ilvl="1">
      <w:start w:val="1"/>
      <w:numFmt w:val="decimal"/>
      <w:lvlText w:val="%2."/>
      <w:lvlJc w:val="start"/>
      <w:pPr>
        <w:tabs>
          <w:tab w:val="num" w:pos="1130"/>
        </w:tabs>
        <w:ind w:start="1130" w:hanging="360"/>
      </w:pPr>
      <w:rPr/>
    </w:lvl>
    <w:lvl w:ilvl="2">
      <w:start w:val="1"/>
      <w:numFmt w:val="decimal"/>
      <w:lvlText w:val="%3."/>
      <w:lvlJc w:val="start"/>
      <w:pPr>
        <w:tabs>
          <w:tab w:val="num" w:pos="1490"/>
        </w:tabs>
        <w:ind w:start="1490" w:hanging="360"/>
      </w:pPr>
      <w:rPr/>
    </w:lvl>
    <w:lvl w:ilvl="3">
      <w:start w:val="1"/>
      <w:numFmt w:val="decimal"/>
      <w:lvlText w:val="%4."/>
      <w:lvlJc w:val="start"/>
      <w:pPr>
        <w:tabs>
          <w:tab w:val="num" w:pos="1850"/>
        </w:tabs>
        <w:ind w:start="1850" w:hanging="360"/>
      </w:pPr>
      <w:rPr/>
    </w:lvl>
    <w:lvl w:ilvl="4">
      <w:start w:val="1"/>
      <w:numFmt w:val="decimal"/>
      <w:lvlText w:val="%5."/>
      <w:lvlJc w:val="start"/>
      <w:pPr>
        <w:tabs>
          <w:tab w:val="num" w:pos="2210"/>
        </w:tabs>
        <w:ind w:start="2210" w:hanging="360"/>
      </w:pPr>
      <w:rPr/>
    </w:lvl>
    <w:lvl w:ilvl="5">
      <w:start w:val="1"/>
      <w:numFmt w:val="decimal"/>
      <w:lvlText w:val="%6."/>
      <w:lvlJc w:val="start"/>
      <w:pPr>
        <w:tabs>
          <w:tab w:val="num" w:pos="2570"/>
        </w:tabs>
        <w:ind w:start="2570" w:hanging="360"/>
      </w:pPr>
      <w:rPr/>
    </w:lvl>
    <w:lvl w:ilvl="6">
      <w:start w:val="1"/>
      <w:numFmt w:val="decimal"/>
      <w:lvlText w:val="%7."/>
      <w:lvlJc w:val="start"/>
      <w:pPr>
        <w:tabs>
          <w:tab w:val="num" w:pos="2930"/>
        </w:tabs>
        <w:ind w:start="2930" w:hanging="360"/>
      </w:pPr>
      <w:rPr/>
    </w:lvl>
    <w:lvl w:ilvl="7">
      <w:start w:val="1"/>
      <w:numFmt w:val="decimal"/>
      <w:lvlText w:val="%8."/>
      <w:lvlJc w:val="start"/>
      <w:pPr>
        <w:tabs>
          <w:tab w:val="num" w:pos="3290"/>
        </w:tabs>
        <w:ind w:start="3290" w:hanging="360"/>
      </w:pPr>
      <w:rPr/>
    </w:lvl>
    <w:lvl w:ilvl="8">
      <w:start w:val="1"/>
      <w:numFmt w:val="decimal"/>
      <w:lvlText w:val="%9."/>
      <w:lvlJc w:val="start"/>
      <w:pPr>
        <w:tabs>
          <w:tab w:val="num" w:pos="3650"/>
        </w:tabs>
        <w:ind w:start="365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it-IT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igure">
    <w:name w:val="Figure"/>
    <w:basedOn w:val="Caption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LibreOffice/24.8.3.2$MacOSX_X86_64 LibreOffice_project/48a6bac9e7e268aeb4c3483fcf825c94556d9f92</Application>
  <AppVersion>15.0000</AppVersion>
  <Pages>2</Pages>
  <Words>410</Words>
  <Characters>2642</Characters>
  <CharactersWithSpaces>3051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2026-10-03T19:29:44Z</dcterms:created>
  <dc:creator/>
  <dc:description/>
  <dc:language>it-IT</dc:language>
  <cp:lastModifiedBy/>
  <dcterms:modified xsi:type="dcterms:W3CDTF">2026-10-05T12:54:19Z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