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Solicitud de cambios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xzbpxl1tpe6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Mejora del sistema de reportes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x5q03ckq5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m7hv1wu0zu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cwniqsosj9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2juvkvtdi0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1nroz78stx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u1nkpm0u5e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q6xfby13bv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qlrsmfm76x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Historial de versiones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tbl>
      <w:tblPr>
        <w:tblStyle w:val="Table1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1155"/>
        <w:gridCol w:w="840"/>
        <w:gridCol w:w="2970"/>
        <w:gridCol w:w="3030"/>
        <w:tblGridChange w:id="0">
          <w:tblGrid>
            <w:gridCol w:w="585"/>
            <w:gridCol w:w="1155"/>
            <w:gridCol w:w="840"/>
            <w:gridCol w:w="2970"/>
            <w:gridCol w:w="3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40" w:lineRule="auto"/>
              <w:ind w:right="60"/>
              <w:jc w:val="center"/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Anthony Bedia Gonzales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kp8vn6aqxhw" w:id="10"/>
      <w:bookmarkEnd w:id="10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01-Mejora del sistema de reportes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seguimiento de perfil de presos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18/06/2023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Anthony Bedia Gonzales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Anthony Bedia Gonzales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momento que el usuario empresa genera el reporte de un preso, en vez que él tenga que filtrar por tiempo de pena o nivel de peligrosidad el sistema automáticamente generará el reporte con ambos filtros.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mejorar la rapidez y eficiencia del programa a la hora de generar el reporte. Esto se notará más cuando los usuarios empresas generen muchos reportes a la vez de diferentes presos, ya que no tendrán que volver a generar otro reporte más si quieren tener la información del otro filtro.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