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sz w:val="2"/>
          <w:szCs w:val="2"/>
        </w:rPr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20" w:footer="600"/>
          <w:pgNumType w:start="1"/>
          <w:titlePg w:val="1"/>
        </w:sect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557530</wp:posOffset>
                </wp:positionH>
                <wp:positionV relativeFrom="page">
                  <wp:posOffset>1657667</wp:posOffset>
                </wp:positionV>
                <wp:extent cx="2433828" cy="4893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148136" y="3551400"/>
                          <a:ext cx="2395728" cy="4572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cap="flat" cmpd="sng" w="12700">
                          <a:solidFill>
                            <a:srgbClr val="9DB0FF">
                              <a:alpha val="0"/>
                            </a:srgbClr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0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e7ecff"/>
                                <w:sz w:val="25"/>
                                <w:vertAlign w:val="baseline"/>
                              </w:rPr>
                              <w:t xml:space="preserve">GESTIÓN DE CALIDAD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557530</wp:posOffset>
                </wp:positionH>
                <wp:positionV relativeFrom="page">
                  <wp:posOffset>1657667</wp:posOffset>
                </wp:positionV>
                <wp:extent cx="2433828" cy="489300"/>
                <wp:effectExtent b="0" l="0" r="0" t="0"/>
                <wp:wrapNone/>
                <wp:docPr id="1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3828" cy="489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698945</wp:posOffset>
                </wp:positionH>
                <wp:positionV relativeFrom="page">
                  <wp:posOffset>6432233</wp:posOffset>
                </wp:positionV>
                <wp:extent cx="4600575" cy="1025271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3060000" y="3322800"/>
                          <a:ext cx="4572000" cy="914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DCE2F5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190500" rotWithShape="0" dir="5400000" dist="76200">
                            <a:srgbClr val="000B33">
                              <a:alpha val="41960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698945</wp:posOffset>
                </wp:positionH>
                <wp:positionV relativeFrom="page">
                  <wp:posOffset>6432233</wp:posOffset>
                </wp:positionV>
                <wp:extent cx="4600575" cy="1025271"/>
                <wp:effectExtent b="0" l="0" r="0" t="0"/>
                <wp:wrapNone/>
                <wp:docPr id="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0575" cy="10252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-14283</wp:posOffset>
                </wp:positionH>
                <wp:positionV relativeFrom="page">
                  <wp:posOffset>-14283</wp:posOffset>
                </wp:positionV>
                <wp:extent cx="7800975" cy="1008697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1459800" y="0"/>
                          <a:ext cx="7772400" cy="7560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A1E5C"/>
                            </a:gs>
                            <a:gs pos="42000">
                              <a:srgbClr val="001DAE"/>
                            </a:gs>
                            <a:gs pos="100000">
                              <a:srgbClr val="000B4A"/>
                            </a:gs>
                          </a:gsLst>
                          <a:lin ang="30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-14283</wp:posOffset>
                </wp:positionH>
                <wp:positionV relativeFrom="page">
                  <wp:posOffset>-14283</wp:posOffset>
                </wp:positionV>
                <wp:extent cx="7800975" cy="10086975"/>
                <wp:effectExtent b="0" l="0" r="0" t="0"/>
                <wp:wrapNone/>
                <wp:docPr id="1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0975" cy="10086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5129022</wp:posOffset>
                </wp:positionH>
                <wp:positionV relativeFrom="page">
                  <wp:posOffset>99822</wp:posOffset>
                </wp:positionV>
                <wp:extent cx="1720596" cy="1720596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504752" y="2938752"/>
                          <a:ext cx="1682496" cy="1682496"/>
                        </a:xfrm>
                        <a:prstGeom prst="ellipse">
                          <a:avLst/>
                        </a:prstGeom>
                        <a:noFill/>
                        <a:ln cap="flat" cmpd="sng" w="12700">
                          <a:solidFill>
                            <a:srgbClr val="9DB0FF">
                              <a:alpha val="0"/>
                            </a:srgbClr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5129022</wp:posOffset>
                </wp:positionH>
                <wp:positionV relativeFrom="page">
                  <wp:posOffset>99822</wp:posOffset>
                </wp:positionV>
                <wp:extent cx="1720596" cy="1720596"/>
                <wp:effectExtent b="0" l="0" r="0" t="0"/>
                <wp:wrapNone/>
                <wp:docPr id="2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0596" cy="17205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5682426</wp:posOffset>
                </wp:positionH>
                <wp:positionV relativeFrom="page">
                  <wp:posOffset>653226</wp:posOffset>
                </wp:positionV>
                <wp:extent cx="613791" cy="613791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053392" y="3487392"/>
                          <a:ext cx="585216" cy="585216"/>
                        </a:xfrm>
                        <a:prstGeom prst="ellipse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5682426</wp:posOffset>
                </wp:positionH>
                <wp:positionV relativeFrom="page">
                  <wp:posOffset>653226</wp:posOffset>
                </wp:positionV>
                <wp:extent cx="613791" cy="613791"/>
                <wp:effectExtent b="0" l="0" r="0" t="0"/>
                <wp:wrapNone/>
                <wp:docPr id="2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791" cy="6137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-2035761</wp:posOffset>
                </wp:positionH>
                <wp:positionV relativeFrom="page">
                  <wp:posOffset>8662714</wp:posOffset>
                </wp:positionV>
                <wp:extent cx="5534576" cy="5534576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1080000">
                          <a:off x="3974400" y="2408400"/>
                          <a:ext cx="2743200" cy="2743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-2035761</wp:posOffset>
                </wp:positionH>
                <wp:positionV relativeFrom="page">
                  <wp:posOffset>8662714</wp:posOffset>
                </wp:positionV>
                <wp:extent cx="5534576" cy="5534576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4576" cy="55345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-1365643</wp:posOffset>
                </wp:positionH>
                <wp:positionV relativeFrom="page">
                  <wp:posOffset>9515713</wp:posOffset>
                </wp:positionV>
                <wp:extent cx="4285777" cy="4285777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 rot="1320000">
                          <a:off x="4385880" y="2819880"/>
                          <a:ext cx="1920240" cy="1920240"/>
                        </a:xfrm>
                        <a:prstGeom prst="rect">
                          <a:avLst/>
                        </a:prstGeom>
                        <a:solidFill>
                          <a:srgbClr val="9DB0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-1365643</wp:posOffset>
                </wp:positionH>
                <wp:positionV relativeFrom="page">
                  <wp:posOffset>9515713</wp:posOffset>
                </wp:positionV>
                <wp:extent cx="4285777" cy="4285777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77" cy="42857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900114</wp:posOffset>
                </wp:positionH>
                <wp:positionV relativeFrom="page">
                  <wp:posOffset>918401</wp:posOffset>
                </wp:positionV>
                <wp:extent cx="5972175" cy="54178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74200" y="3767199"/>
                          <a:ext cx="5943600" cy="25603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C9A24B"/>
                            </a:gs>
                            <a:gs pos="50000">
                              <a:srgbClr val="F4E4B0"/>
                            </a:gs>
                            <a:gs pos="100000">
                              <a:srgbClr val="C9A24B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900114</wp:posOffset>
                </wp:positionH>
                <wp:positionV relativeFrom="page">
                  <wp:posOffset>918401</wp:posOffset>
                </wp:positionV>
                <wp:extent cx="5972175" cy="54178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2175" cy="541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900114</wp:posOffset>
                </wp:positionH>
                <wp:positionV relativeFrom="page">
                  <wp:posOffset>991554</wp:posOffset>
                </wp:positionV>
                <wp:extent cx="2954655" cy="41377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882960" y="3773599"/>
                          <a:ext cx="2926080" cy="12802"/>
                        </a:xfrm>
                        <a:prstGeom prst="rect">
                          <a:avLst/>
                        </a:prstGeom>
                        <a:solidFill>
                          <a:srgbClr val="C9A24B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900114</wp:posOffset>
                </wp:positionH>
                <wp:positionV relativeFrom="page">
                  <wp:posOffset>991554</wp:posOffset>
                </wp:positionV>
                <wp:extent cx="2954655" cy="41377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4655" cy="413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900114</wp:posOffset>
                </wp:positionH>
                <wp:positionV relativeFrom="page">
                  <wp:posOffset>1174434</wp:posOffset>
                </wp:positionV>
                <wp:extent cx="7343775" cy="36195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1688400" y="3615408"/>
                          <a:ext cx="7315200" cy="329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7"/>
                                <w:vertAlign w:val="baseline"/>
                              </w:rPr>
                              <w:t xml:space="preserve">UNIVERSIDAD NACIONAL DE LA PATAGONIA AUSTRAL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900114</wp:posOffset>
                </wp:positionH>
                <wp:positionV relativeFrom="page">
                  <wp:posOffset>1174434</wp:posOffset>
                </wp:positionV>
                <wp:extent cx="7343775" cy="361950"/>
                <wp:effectExtent b="0" l="0" r="0" t="0"/>
                <wp:wrapNone/>
                <wp:docPr id="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43775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900114</wp:posOffset>
                </wp:positionH>
                <wp:positionV relativeFrom="page">
                  <wp:posOffset>1467042</wp:posOffset>
                </wp:positionV>
                <wp:extent cx="7343775" cy="32385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1688400" y="3633696"/>
                          <a:ext cx="7315200" cy="292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9db0ff"/>
                                <w:sz w:val="28"/>
                                <w:vertAlign w:val="baseline"/>
                              </w:rPr>
                              <w:t xml:space="preserve">LICENCIATURA EN SISTEMAS</w:t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c9a24b"/>
                                <w:sz w:val="28"/>
                                <w:vertAlign w:val="baseline"/>
                              </w:rPr>
                              <w:t xml:space="preserve">   •   </w:t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9db0ff"/>
                                <w:sz w:val="28"/>
                                <w:vertAlign w:val="baseline"/>
                              </w:rPr>
                              <w:t xml:space="preserve">4º AÑO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900114</wp:posOffset>
                </wp:positionH>
                <wp:positionV relativeFrom="page">
                  <wp:posOffset>1467042</wp:posOffset>
                </wp:positionV>
                <wp:extent cx="7343775" cy="323850"/>
                <wp:effectExtent b="0" l="0" r="0" t="0"/>
                <wp:wrapNone/>
                <wp:docPr id="2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43775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698945</wp:posOffset>
                </wp:positionH>
                <wp:positionV relativeFrom="page">
                  <wp:posOffset>2774633</wp:posOffset>
                </wp:positionV>
                <wp:extent cx="6429375" cy="304609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145600" y="2271240"/>
                          <a:ext cx="6400800" cy="30175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EEF1FA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190500" rotWithShape="0" dir="5400000" dist="76200">
                            <a:srgbClr val="000B33">
                              <a:alpha val="41960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698945</wp:posOffset>
                </wp:positionH>
                <wp:positionV relativeFrom="page">
                  <wp:posOffset>2774633</wp:posOffset>
                </wp:positionV>
                <wp:extent cx="6429375" cy="3046095"/>
                <wp:effectExtent b="0" l="0" r="0" t="0"/>
                <wp:wrapNone/>
                <wp:docPr id="1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3046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698945</wp:posOffset>
                </wp:positionH>
                <wp:positionV relativeFrom="page">
                  <wp:posOffset>2774633</wp:posOffset>
                </wp:positionV>
                <wp:extent cx="138303" cy="304609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91136" y="2271240"/>
                          <a:ext cx="109728" cy="3017520"/>
                        </a:xfrm>
                        <a:prstGeom prst="rect">
                          <a:avLst/>
                        </a:prstGeom>
                        <a:solidFill>
                          <a:srgbClr val="001DA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698945</wp:posOffset>
                </wp:positionH>
                <wp:positionV relativeFrom="page">
                  <wp:posOffset>2774633</wp:posOffset>
                </wp:positionV>
                <wp:extent cx="138303" cy="3046095"/>
                <wp:effectExtent b="0" l="0" r="0" t="0"/>
                <wp:wrapNone/>
                <wp:docPr id="1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303" cy="3046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698945</wp:posOffset>
                </wp:positionH>
                <wp:positionV relativeFrom="page">
                  <wp:posOffset>2774633</wp:posOffset>
                </wp:positionV>
                <wp:extent cx="138303" cy="89725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91136" y="3345660"/>
                          <a:ext cx="109728" cy="86868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C9A24B"/>
                            </a:gs>
                            <a:gs pos="100000">
                              <a:srgbClr val="F4E4B0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698945</wp:posOffset>
                </wp:positionH>
                <wp:positionV relativeFrom="page">
                  <wp:posOffset>2774633</wp:posOffset>
                </wp:positionV>
                <wp:extent cx="138303" cy="897255"/>
                <wp:effectExtent b="0" l="0" r="0" t="0"/>
                <wp:wrapNone/>
                <wp:docPr id="1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303" cy="897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1073469</wp:posOffset>
                </wp:positionH>
                <wp:positionV relativeFrom="page">
                  <wp:posOffset>3130869</wp:posOffset>
                </wp:positionV>
                <wp:extent cx="834009" cy="834009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952808" y="3386808"/>
                          <a:ext cx="786384" cy="786384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001DAE"/>
                        </a:solidFill>
                        <a:ln cap="flat" cmpd="sng" w="15875">
                          <a:solidFill>
                            <a:srgbClr val="C9A24B">
                              <a:alpha val="0"/>
                            </a:srgbClr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0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9db0ff"/>
                                <w:sz w:val="15"/>
                                <w:vertAlign w:val="baseline"/>
                              </w:rPr>
                              <w:t xml:space="preserve">T.P. Nº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0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9db0ff"/>
                                <w:sz w:val="1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"/>
                                <w:vertAlign w:val="baseline"/>
                              </w:rPr>
                              <w:t xml:space="preserve">7.1</w:t>
                            </w:r>
                          </w:p>
                        </w:txbxContent>
                      </wps:txbx>
                      <wps:bodyPr anchorCtr="1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1073469</wp:posOffset>
                </wp:positionH>
                <wp:positionV relativeFrom="page">
                  <wp:posOffset>3130869</wp:posOffset>
                </wp:positionV>
                <wp:extent cx="834009" cy="834009"/>
                <wp:effectExtent b="0" l="0" r="0" t="0"/>
                <wp:wrapNone/>
                <wp:docPr id="1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4009" cy="8340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2180274</wp:posOffset>
                </wp:positionH>
                <wp:positionV relativeFrom="page">
                  <wp:posOffset>3048953</wp:posOffset>
                </wp:positionV>
                <wp:extent cx="4189095" cy="195174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265740" y="2819880"/>
                          <a:ext cx="4160520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0" w:before="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5566a8"/>
                                <w:sz w:val="19"/>
                                <w:vertAlign w:val="baseline"/>
                              </w:rPr>
                              <w:t xml:space="preserve">TRABAJO PRÁCTICO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5566a8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0a1e5c"/>
                                <w:sz w:val="44"/>
                                <w:vertAlign w:val="baseline"/>
                              </w:rPr>
                              <w:t xml:space="preserve">Evaluación de Calidad Interna del Producto Software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2180274</wp:posOffset>
                </wp:positionH>
                <wp:positionV relativeFrom="page">
                  <wp:posOffset>3048953</wp:posOffset>
                </wp:positionV>
                <wp:extent cx="4189095" cy="1951740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89095" cy="1951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1082994</wp:posOffset>
                </wp:positionH>
                <wp:positionV relativeFrom="page">
                  <wp:posOffset>4731450</wp:posOffset>
                </wp:positionV>
                <wp:extent cx="5697855" cy="45034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511360" y="3771771"/>
                          <a:ext cx="5669280" cy="16459"/>
                        </a:xfrm>
                        <a:prstGeom prst="rect">
                          <a:avLst/>
                        </a:prstGeom>
                        <a:solidFill>
                          <a:srgbClr val="D5DAE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1082994</wp:posOffset>
                </wp:positionH>
                <wp:positionV relativeFrom="page">
                  <wp:posOffset>4731450</wp:posOffset>
                </wp:positionV>
                <wp:extent cx="5697855" cy="45034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7855" cy="450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698945</wp:posOffset>
                </wp:positionH>
                <wp:positionV relativeFrom="page">
                  <wp:posOffset>6432233</wp:posOffset>
                </wp:positionV>
                <wp:extent cx="83439" cy="9429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318568" y="3322800"/>
                          <a:ext cx="54864" cy="914400"/>
                        </a:xfrm>
                        <a:prstGeom prst="rect">
                          <a:avLst/>
                        </a:prstGeom>
                        <a:solidFill>
                          <a:srgbClr val="C9A24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698945</wp:posOffset>
                </wp:positionH>
                <wp:positionV relativeFrom="page">
                  <wp:posOffset>6432233</wp:posOffset>
                </wp:positionV>
                <wp:extent cx="83439" cy="942975"/>
                <wp:effectExtent b="0" l="0" r="0" t="0"/>
                <wp:wrapNone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439" cy="942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1009842</wp:posOffset>
                </wp:positionH>
                <wp:positionV relativeFrom="page">
                  <wp:posOffset>6560247</wp:posOffset>
                </wp:positionV>
                <wp:extent cx="4051935" cy="705506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334320" y="3441672"/>
                          <a:ext cx="4023360" cy="676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30" w:before="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7c86ae"/>
                                <w:sz w:val="14"/>
                                <w:vertAlign w:val="baseline"/>
                              </w:rPr>
                              <w:t xml:space="preserve">AUTOR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7c86ae"/>
                                <w:sz w:val="1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0a1e5c"/>
                                <w:sz w:val="26"/>
                                <w:vertAlign w:val="baseline"/>
                              </w:rPr>
                              <w:t xml:space="preserve">Gargaglione, Giancarlo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1009842</wp:posOffset>
                </wp:positionH>
                <wp:positionV relativeFrom="page">
                  <wp:posOffset>6560247</wp:posOffset>
                </wp:positionV>
                <wp:extent cx="4051935" cy="705506"/>
                <wp:effectExtent b="0" l="0" r="0" t="0"/>
                <wp:wrapNone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51935" cy="7055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5540502</wp:posOffset>
                </wp:positionH>
                <wp:positionV relativeFrom="page">
                  <wp:posOffset>6427470</wp:posOffset>
                </wp:positionV>
                <wp:extent cx="1738884" cy="947319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95608" y="3322800"/>
                          <a:ext cx="1700784" cy="914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cap="flat" cmpd="sng" w="12700">
                          <a:solidFill>
                            <a:srgbClr val="9DB0FF">
                              <a:alpha val="0"/>
                            </a:srgbClr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30" w:before="0" w:line="30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9db0ff"/>
                                <w:sz w:val="29"/>
                                <w:vertAlign w:val="baseline"/>
                              </w:rPr>
                              <w:t xml:space="preserve">FECHA DE ENTREGA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0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9db0ff"/>
                                <w:sz w:val="2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4"/>
                                <w:vertAlign w:val="baseline"/>
                              </w:rPr>
                              <w:t xml:space="preserve">26/05/2026</w:t>
                            </w:r>
                          </w:p>
                        </w:txbxContent>
                      </wps:txbx>
                      <wps:bodyPr anchorCtr="1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5540502</wp:posOffset>
                </wp:positionH>
                <wp:positionV relativeFrom="page">
                  <wp:posOffset>6427470</wp:posOffset>
                </wp:positionV>
                <wp:extent cx="1738884" cy="947319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8884" cy="9473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-14283</wp:posOffset>
                </wp:positionH>
                <wp:positionV relativeFrom="page">
                  <wp:posOffset>8690802</wp:posOffset>
                </wp:positionV>
                <wp:extent cx="7800975" cy="56007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459800" y="3766284"/>
                          <a:ext cx="7772400" cy="27432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C9A24B"/>
                            </a:gs>
                            <a:gs pos="50000">
                              <a:srgbClr val="F4E4B0"/>
                            </a:gs>
                            <a:gs pos="100000">
                              <a:srgbClr val="C9A24B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-14283</wp:posOffset>
                </wp:positionH>
                <wp:positionV relativeFrom="page">
                  <wp:posOffset>8690802</wp:posOffset>
                </wp:positionV>
                <wp:extent cx="7800975" cy="56007"/>
                <wp:effectExtent b="0" l="0" r="0" t="0"/>
                <wp:wrapNone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0975" cy="560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40" w:before="120" w:lineRule="auto"/>
        <w:ind w:left="566.9291338582675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Resolución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-14285</wp:posOffset>
                </wp:positionH>
                <wp:positionV relativeFrom="paragraph">
                  <wp:posOffset>23813</wp:posOffset>
                </wp:positionV>
                <wp:extent cx="301125" cy="3011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126220" y="3560220"/>
                          <a:ext cx="439560" cy="439560"/>
                        </a:xfrm>
                        <a:prstGeom prst="roundRect">
                          <a:avLst>
                            <a:gd fmla="val 14000" name="adj"/>
                          </a:avLst>
                        </a:prstGeom>
                        <a:solidFill>
                          <a:srgbClr val="001DAE"/>
                        </a:solidFill>
                        <a:ln>
                          <a:noFill/>
                        </a:ln>
                        <a:effectLst>
                          <a:outerShdw blurRad="50760" rotWithShape="0" dir="5400000" dist="25560">
                            <a:srgbClr val="001DAE">
                              <a:alpha val="34117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-14285</wp:posOffset>
                </wp:positionH>
                <wp:positionV relativeFrom="paragraph">
                  <wp:posOffset>23813</wp:posOffset>
                </wp:positionV>
                <wp:extent cx="301125" cy="301125"/>
                <wp:effectExtent b="0" l="0" r="0" t="0"/>
                <wp:wrapNone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125" cy="30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 </w:t>
      </w:r>
    </w:p>
    <w:p w:rsidR="00000000" w:rsidDel="00000000" w:rsidP="00000000" w:rsidRDefault="00000000" w:rsidRPr="00000000" w14:paraId="00000004">
      <w:pPr>
        <w:spacing w:after="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b3358"/>
          <w:rtl w:val="0"/>
        </w:rPr>
        <w:t xml:space="preserve">Analice la documentación de las herramientas Mess Detector y Code Sniffer. Describa de forma resumida en qué consisten y qué reglas evalúan. Elija las 5 reglas que considera más útiles y/o relevantes para el desarrollador.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PHP MESS DETECTOR (PHPMD)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PHP Mess Detector es una herramienta de análisis estático que examina el código fuente PHP en busca de problemas potenciales relacionados con la complejidad, el diseño, las buenas prácticas y el código no utilizado. Detecta posibles bugs, código subóptimo, expresiones demasiado complejas y parámetros, variables, métodos y clases sin uso. Opera aplicando conjuntos de reglas predefinidos o personalizados sobre los archivos PHP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PHPMD organiza sus reglas en seis categorías: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Codesize:</w:t>
      </w:r>
      <w:r w:rsidDel="00000000" w:rsidR="00000000" w:rsidRPr="00000000">
        <w:rPr>
          <w:rtl w:val="0"/>
        </w:rPr>
        <w:t xml:space="preserve"> detecta código demasiado largo o complejo — métodos extensos, clases con demasiadas responsabilidades, alta complejidad ciclomática.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identifica problemas de diseño como dependencias excesivas o uso inapropiado de variables globales.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Naming:</w:t>
      </w:r>
      <w:r w:rsidDel="00000000" w:rsidR="00000000" w:rsidRPr="00000000">
        <w:rPr>
          <w:rtl w:val="0"/>
        </w:rPr>
        <w:t xml:space="preserve"> verifica convenciones de nomenclatura — nombres de variables demasiado cortos o largos, nombres de métodos poco descriptivos.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Unusedcode:</w:t>
      </w:r>
      <w:r w:rsidDel="00000000" w:rsidR="00000000" w:rsidRPr="00000000">
        <w:rPr>
          <w:rtl w:val="0"/>
        </w:rPr>
        <w:t xml:space="preserve"> detecta variables, parámetros, métodos y propiedades declarados pero nunca utilizados.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Cleancode:</w:t>
      </w:r>
      <w:r w:rsidDel="00000000" w:rsidR="00000000" w:rsidRPr="00000000">
        <w:rPr>
          <w:rtl w:val="0"/>
        </w:rPr>
        <w:t xml:space="preserve"> promueve prácticas de código limpio, como evitar argumentos booleanos en funciones.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Controversial:</w:t>
      </w:r>
      <w:r w:rsidDel="00000000" w:rsidR="00000000" w:rsidRPr="00000000">
        <w:rPr>
          <w:rtl w:val="0"/>
        </w:rPr>
        <w:t xml:space="preserve"> reglas de aplicación discutida, como el uso de superglobales.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eorgia" w:cs="Georgia" w:eastAsia="Georgia" w:hAnsi="Georgia"/>
          <w:b w:val="1"/>
          <w:bCs w:val="1"/>
          <w:color w:val="001dae"/>
          <w:sz w:val="28"/>
          <w:szCs w:val="28"/>
        </w:rPr>
      </w:pPr>
      <w:r w:rsidDel="00000000" w:rsidR="00000000" w:rsidRPr="00000000">
        <w:rPr>
          <w:rtl w:val="0"/>
        </w:rPr>
        <w:t xml:space="preserve">Las 5 reglas más relevantes para el proyecto:</w:t>
      </w:r>
      <w:r w:rsidDel="00000000" w:rsidR="00000000" w:rsidRPr="00000000">
        <w:rPr>
          <w:rtl w:val="0"/>
        </w:rPr>
      </w:r>
    </w:p>
    <w:sdt>
      <w:sdtPr>
        <w:lock w:val="contentLocked"/>
        <w:id w:val="1103752586"/>
        <w:tag w:val="goog_rdk_0"/>
      </w:sdtPr>
      <w:sdtContent>
        <w:tbl>
          <w:tblPr>
            <w:tblStyle w:val="Table1"/>
            <w:tblW w:w="8955.0" w:type="dxa"/>
            <w:jc w:val="left"/>
            <w:tblLayout w:type="fixed"/>
            <w:tblLook w:val="0400"/>
          </w:tblPr>
          <w:tblGrid>
            <w:gridCol w:w="2505"/>
            <w:gridCol w:w="1575"/>
            <w:gridCol w:w="4875"/>
            <w:tblGridChange w:id="0">
              <w:tblGrid>
                <w:gridCol w:w="2505"/>
                <w:gridCol w:w="1575"/>
                <w:gridCol w:w="487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1dae" w:space="0" w:sz="4" w:val="single"/>
                  <w:left w:color="001dae" w:space="0" w:sz="4" w:val="single"/>
                  <w:bottom w:color="001dae" w:space="0" w:sz="4" w:val="single"/>
                  <w:right w:color="001dae" w:space="0" w:sz="4" w:val="single"/>
                </w:tcBorders>
                <w:shd w:fill="001dae" w:val="clear"/>
                <w:vAlign w:val="center"/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40" w:before="40" w:line="240" w:lineRule="auto"/>
                  <w:jc w:val="left"/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Regla</w:t>
                </w:r>
              </w:p>
            </w:tc>
            <w:tc>
              <w:tcPr>
                <w:tcBorders>
                  <w:top w:color="001dae" w:space="0" w:sz="4" w:val="single"/>
                  <w:left w:color="001dae" w:space="0" w:sz="4" w:val="single"/>
                  <w:bottom w:color="001dae" w:space="0" w:sz="4" w:val="single"/>
                  <w:right w:color="001dae" w:space="0" w:sz="4" w:val="single"/>
                </w:tcBorders>
                <w:shd w:fill="001dae" w:val="clear"/>
                <w:vAlign w:val="center"/>
              </w:tcPr>
              <w:p w:rsidR="00000000" w:rsidDel="00000000" w:rsidP="00000000" w:rsidRDefault="00000000" w:rsidRPr="00000000" w14:paraId="00000011">
                <w:pPr>
                  <w:widowControl w:val="0"/>
                  <w:spacing w:after="40" w:before="40" w:line="240" w:lineRule="auto"/>
                  <w:jc w:val="left"/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Categoría</w:t>
                </w:r>
              </w:p>
            </w:tc>
            <w:tc>
              <w:tcPr>
                <w:tcBorders>
                  <w:top w:color="001dae" w:space="0" w:sz="4" w:val="single"/>
                  <w:left w:color="001dae" w:space="0" w:sz="4" w:val="single"/>
                  <w:bottom w:color="001dae" w:space="0" w:sz="4" w:val="single"/>
                  <w:right w:color="001dae" w:space="0" w:sz="4" w:val="single"/>
                </w:tcBorders>
                <w:shd w:fill="001dae" w:val="clear"/>
                <w:vAlign w:val="center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40" w:before="40" w:line="240" w:lineRule="auto"/>
                  <w:jc w:val="left"/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13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19"/>
                    <w:szCs w:val="19"/>
                    <w:rtl w:val="0"/>
                  </w:rPr>
                  <w:t xml:space="preserve">CyclomaticComplexity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14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Codesize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40" w:before="40" w:line="252.00000000000003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Detecta métodos con complejidad ciclomática alta, demasiados caminos de ejecución posibles. Generalmente 1-4 es baja complejidad, 5-7 moderada, 8-10 alta y 11+ muy alta.</w:t>
                </w:r>
                <w:hyperlink r:id="rId10"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</w:t>
                  </w:r>
                </w:hyperlink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Relevante para los módulos de validación y ABM.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16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19"/>
                    <w:szCs w:val="19"/>
                    <w:rtl w:val="0"/>
                  </w:rPr>
                  <w:t xml:space="preserve">UnusedLocalVariable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17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Unusedcode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18">
                <w:pPr>
                  <w:widowControl w:val="0"/>
                  <w:spacing w:after="40" w:before="40" w:line="252.00000000000003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Detecta variables declaradas pero no utilizadas dentro de un método. Frecuente en código PHP sin tipado estricto.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19"/>
                    <w:szCs w:val="19"/>
                    <w:rtl w:val="0"/>
                  </w:rPr>
                  <w:t xml:space="preserve">UnusedFormalParameter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1A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Unusedcode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40" w:before="40" w:line="252.00000000000003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Detecta parámetros de funciones que se declaran pero nunca se usan dentro del cuerpo. Indica código innecesario o funciones mal diseñadas.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1C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19"/>
                    <w:szCs w:val="19"/>
                    <w:rtl w:val="0"/>
                  </w:rPr>
                  <w:t xml:space="preserve">ShortVariable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1D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Naming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40" w:before="40" w:line="252.00000000000003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Alerta sobre variables con nombres demasiado cortos (menos de 3 caracteres) que dificultan la lectura. Relevante para el estándar de programación EC-STD-PHP.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1F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19"/>
                    <w:szCs w:val="19"/>
                    <w:rtl w:val="0"/>
                  </w:rPr>
                  <w:t xml:space="preserve">BooleanArgumentFlag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Cleancode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40" w:before="40" w:line="252.00000000000003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 debe haber espacio entre el nombre de una función y el paréntesis de apertura. Garantiza uniformidad en todas las llamadas a funciones del proyecto. </w:t>
                </w:r>
              </w:p>
            </w:tc>
          </w:tr>
        </w:tbl>
      </w:sdtContent>
    </w:sdt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PHP CODE SNIFFER (PHPCS)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PHP CodeSniffer es una herramienta que analiza el código PHP y detecta violaciones de los estándares de codificación definidos. A diferencia de PHPMD, que analiza la calidad del diseño, PHPCS se enfoca en el estilo y formato del código — indentación, espaciado, nomenclatura y estructura. Puede integrarse en el flujo de trabajo de desarrollo para verificar automáticamente el cumplimiento del código con los estándares. EdgewallEdgewall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PHPCS soporta múltiples estándares predefinidos, siendo PSR-1 y PSR-12 los más relevantes para este proyecto. PSR-12 es el estándar de estilo de codificación actualmente recomendado, habiendo reemplazado al anterior PSR-2. Todos los principales frameworks PHP han adoptado estos estándares como base.</w:t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b w:val="1"/>
          <w:bCs w:val="1"/>
          <w:color w:val="001dae"/>
          <w:sz w:val="28"/>
          <w:szCs w:val="28"/>
        </w:rPr>
      </w:pPr>
      <w:r w:rsidDel="00000000" w:rsidR="00000000" w:rsidRPr="00000000">
        <w:rPr>
          <w:rtl w:val="0"/>
        </w:rPr>
        <w:t xml:space="preserve">Las 5 reglas más relevantes para el proyecto:</w:t>
      </w:r>
      <w:r w:rsidDel="00000000" w:rsidR="00000000" w:rsidRPr="00000000">
        <w:rPr>
          <w:rtl w:val="0"/>
        </w:rPr>
      </w:r>
    </w:p>
    <w:sdt>
      <w:sdtPr>
        <w:lock w:val="contentLocked"/>
        <w:id w:val="-1727478064"/>
        <w:tag w:val="goog_rdk_1"/>
      </w:sdtPr>
      <w:sdtContent>
        <w:tbl>
          <w:tblPr>
            <w:tblStyle w:val="Table2"/>
            <w:tblW w:w="8955.0" w:type="dxa"/>
            <w:jc w:val="left"/>
            <w:tblLayout w:type="fixed"/>
            <w:tblLook w:val="0400"/>
          </w:tblPr>
          <w:tblGrid>
            <w:gridCol w:w="3060"/>
            <w:gridCol w:w="1425"/>
            <w:gridCol w:w="4470"/>
            <w:tblGridChange w:id="0">
              <w:tblGrid>
                <w:gridCol w:w="3060"/>
                <w:gridCol w:w="1425"/>
                <w:gridCol w:w="447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1dae" w:space="0" w:sz="4" w:val="single"/>
                  <w:left w:color="001dae" w:space="0" w:sz="4" w:val="single"/>
                  <w:bottom w:color="001dae" w:space="0" w:sz="4" w:val="single"/>
                  <w:right w:color="001dae" w:space="0" w:sz="4" w:val="single"/>
                </w:tcBorders>
                <w:shd w:fill="001dae" w:val="clear"/>
                <w:vAlign w:val="center"/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40" w:before="40" w:line="240" w:lineRule="auto"/>
                  <w:jc w:val="left"/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Regla</w:t>
                </w:r>
              </w:p>
            </w:tc>
            <w:tc>
              <w:tcPr>
                <w:tcBorders>
                  <w:top w:color="001dae" w:space="0" w:sz="4" w:val="single"/>
                  <w:left w:color="001dae" w:space="0" w:sz="4" w:val="single"/>
                  <w:bottom w:color="001dae" w:space="0" w:sz="4" w:val="single"/>
                  <w:right w:color="001dae" w:space="0" w:sz="4" w:val="single"/>
                </w:tcBorders>
                <w:shd w:fill="001dae" w:val="clear"/>
                <w:vAlign w:val="center"/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40" w:before="40" w:line="240" w:lineRule="auto"/>
                  <w:jc w:val="left"/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Estándar</w:t>
                </w:r>
              </w:p>
            </w:tc>
            <w:tc>
              <w:tcPr>
                <w:tcBorders>
                  <w:top w:color="001dae" w:space="0" w:sz="4" w:val="single"/>
                  <w:left w:color="001dae" w:space="0" w:sz="4" w:val="single"/>
                  <w:bottom w:color="001dae" w:space="0" w:sz="4" w:val="single"/>
                  <w:right w:color="001dae" w:space="0" w:sz="4" w:val="single"/>
                </w:tcBorders>
                <w:shd w:fill="001dae" w:val="clear"/>
                <w:vAlign w:val="center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40" w:before="40" w:line="240" w:lineRule="auto"/>
                  <w:jc w:val="left"/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19"/>
                    <w:szCs w:val="19"/>
                    <w:rtl w:val="0"/>
                  </w:rPr>
                  <w:t xml:space="preserve">Indentation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2B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Codesize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2C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código debe usar 4 espacios de indentación por nivel, nunca tabulaciones. Garantiza consistencia visual entre distintos editores.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19"/>
                    <w:szCs w:val="19"/>
                    <w:rtl w:val="0"/>
                  </w:rPr>
                  <w:t xml:space="preserve">LineLength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2E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Unusedcode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2F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recomienda mantener las líneas en aproximadamente 80 caracteres para mejorar la legibilidad. Relevante para el código PHP de los formularios y la lógica del ABM.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19"/>
                    <w:szCs w:val="19"/>
                    <w:rtl w:val="0"/>
                  </w:rPr>
                  <w:t xml:space="preserve">DisallowMultipleStatements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Unusedcode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 se permiten múltiples sentencias en una sola línea. Mejora la trazabilidad del código durante revisiones y depuración.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19"/>
                    <w:szCs w:val="19"/>
                    <w:rtl w:val="0"/>
                  </w:rPr>
                  <w:t xml:space="preserve">ControlStructureSpacing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34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Naming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Las estructuras de control (if, for, while) deben usar llaves siempre, incluso para bloques de una sola línea. Previene errores sutiles por omisión de llaves.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19"/>
                    <w:szCs w:val="19"/>
                    <w:rtl w:val="0"/>
                  </w:rPr>
                  <w:t xml:space="preserve">FunctionCallSpacing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37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Cleancode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 debe haber espacio entre el nombre de una función y el paréntesis de apertura. Garantiza uniformidad en todas las llamadas a funciones del proyecto. </w:t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color w:val="2b3358"/>
        </w:rPr>
      </w:pPr>
      <w:bookmarkStart w:colFirst="0" w:colLast="0" w:name="_heading=h.vqbawj8azgf2" w:id="0"/>
      <w:bookmarkEnd w:id="0"/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Analice el código de la aplicación desarrollada en el trabajo 05.2 con base a los estándares básicos de codificación de los lenguajes que ha utilizado (describa si lo hizo manual o automáticamente). Elabore un cuadro de acuerdo al siguiente ejemplo:</w:t>
      </w:r>
      <w:r w:rsidDel="00000000" w:rsidR="00000000" w:rsidRPr="00000000">
        <w:rPr>
          <w:rtl w:val="0"/>
        </w:rPr>
      </w:r>
    </w:p>
    <w:sdt>
      <w:sdtPr>
        <w:lock w:val="contentLocked"/>
        <w:id w:val="1967832462"/>
        <w:tag w:val="goog_rdk_2"/>
      </w:sdtPr>
      <w:sdtContent>
        <w:tbl>
          <w:tblPr>
            <w:tblStyle w:val="Table3"/>
            <w:tblW w:w="9270.0" w:type="dxa"/>
            <w:jc w:val="left"/>
            <w:tblLayout w:type="fixed"/>
            <w:tblLook w:val="0400"/>
          </w:tblPr>
          <w:tblGrid>
            <w:gridCol w:w="1185"/>
            <w:gridCol w:w="2220"/>
            <w:gridCol w:w="2220"/>
            <w:gridCol w:w="3645"/>
            <w:tblGridChange w:id="0">
              <w:tblGrid>
                <w:gridCol w:w="1185"/>
                <w:gridCol w:w="2220"/>
                <w:gridCol w:w="2220"/>
                <w:gridCol w:w="364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1dae" w:space="0" w:sz="4" w:val="single"/>
                  <w:left w:color="001dae" w:space="0" w:sz="4" w:val="single"/>
                  <w:bottom w:color="001dae" w:space="0" w:sz="4" w:val="single"/>
                  <w:right w:color="001dae" w:space="0" w:sz="4" w:val="single"/>
                </w:tcBorders>
                <w:shd w:fill="001dae" w:val="clear"/>
                <w:vAlign w:val="center"/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40" w:before="40" w:line="240" w:lineRule="auto"/>
                  <w:jc w:val="left"/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PSR</w:t>
                </w:r>
              </w:p>
            </w:tc>
            <w:tc>
              <w:tcPr>
                <w:tcBorders>
                  <w:top w:color="001dae" w:space="0" w:sz="4" w:val="single"/>
                  <w:left w:color="001dae" w:space="0" w:sz="4" w:val="single"/>
                  <w:bottom w:color="001dae" w:space="0" w:sz="4" w:val="single"/>
                  <w:right w:color="001dae" w:space="0" w:sz="4" w:val="single"/>
                </w:tcBorders>
                <w:shd w:fill="001dae" w:val="clear"/>
                <w:vAlign w:val="center"/>
              </w:tcPr>
              <w:p w:rsidR="00000000" w:rsidDel="00000000" w:rsidP="00000000" w:rsidRDefault="00000000" w:rsidRPr="00000000" w14:paraId="0000003D">
                <w:pPr>
                  <w:widowControl w:val="0"/>
                  <w:spacing w:after="40" w:before="40" w:line="240" w:lineRule="auto"/>
                  <w:jc w:val="left"/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Recomendaciones</w:t>
                </w:r>
              </w:p>
            </w:tc>
            <w:tc>
              <w:tcPr>
                <w:tcBorders>
                  <w:top w:color="001dae" w:space="0" w:sz="4" w:val="single"/>
                  <w:left w:color="001dae" w:space="0" w:sz="4" w:val="single"/>
                  <w:bottom w:color="001dae" w:space="0" w:sz="4" w:val="single"/>
                  <w:right w:color="001dae" w:space="0" w:sz="4" w:val="single"/>
                </w:tcBorders>
                <w:shd w:fill="001dae" w:val="clear"/>
                <w:vAlign w:val="center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40" w:before="40" w:line="240" w:lineRule="auto"/>
                  <w:jc w:val="left"/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Evaluación</w:t>
                </w:r>
              </w:p>
            </w:tc>
            <w:tc>
              <w:tcPr>
                <w:tcBorders>
                  <w:top w:color="001dae" w:space="0" w:sz="4" w:val="single"/>
                  <w:left w:color="001dae" w:space="0" w:sz="4" w:val="single"/>
                  <w:bottom w:color="001dae" w:space="0" w:sz="4" w:val="single"/>
                  <w:right w:color="001dae" w:space="0" w:sz="4" w:val="single"/>
                </w:tcBorders>
                <w:shd w:fill="001dae" w:val="clear"/>
                <w:vAlign w:val="center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40" w:before="40" w:line="240" w:lineRule="auto"/>
                  <w:jc w:val="left"/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Sugerencias de mejora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4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2.1. Etiquetas PHP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4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Cumple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4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4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2.2. Codificación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4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Cumple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4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4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2.3. Declaraciones X</w:t>
                  <w:br w:type="textWrapping"/>
                  <w:t xml:space="preserve">Side effects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4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Clases de modelo incluyen salidas HTML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4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Refactoring. Mover código de salida</w:t>
                </w:r>
              </w:p>
              <w:p w:rsidR="00000000" w:rsidDel="00000000" w:rsidP="00000000" w:rsidRDefault="00000000" w:rsidRPr="00000000" w14:paraId="0000004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HTML hacia una vista y utilizar getters</w:t>
                </w:r>
              </w:p>
              <w:p w:rsidR="00000000" w:rsidDel="00000000" w:rsidP="00000000" w:rsidRDefault="00000000" w:rsidRPr="00000000" w14:paraId="0000004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la vista.</w:t>
                </w:r>
              </w:p>
            </w:tc>
          </w:tr>
        </w:tbl>
      </w:sdtContent>
    </w:sdt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análisis se hizo manualmente, revisando el código línea por línea contra las recomendaciones PSR-1 y PSR-12 y el estándar EC-STD-PHP del proyecto.</w:t>
      </w:r>
      <w:r w:rsidDel="00000000" w:rsidR="00000000" w:rsidRPr="00000000">
        <w:rPr>
          <w:rtl w:val="0"/>
        </w:rPr>
      </w:r>
    </w:p>
    <w:sdt>
      <w:sdtPr>
        <w:lock w:val="contentLocked"/>
        <w:id w:val="-875331254"/>
        <w:tag w:val="goog_rdk_3"/>
      </w:sdtPr>
      <w:sdtContent>
        <w:tbl>
          <w:tblPr>
            <w:tblStyle w:val="Table4"/>
            <w:tblW w:w="9270.0" w:type="dxa"/>
            <w:jc w:val="left"/>
            <w:tblLayout w:type="fixed"/>
            <w:tblLook w:val="0400"/>
          </w:tblPr>
          <w:tblGrid>
            <w:gridCol w:w="1425"/>
            <w:gridCol w:w="2640"/>
            <w:gridCol w:w="1560"/>
            <w:gridCol w:w="3645"/>
            <w:tblGridChange w:id="0">
              <w:tblGrid>
                <w:gridCol w:w="1425"/>
                <w:gridCol w:w="2640"/>
                <w:gridCol w:w="1560"/>
                <w:gridCol w:w="364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1dae" w:space="0" w:sz="4" w:val="single"/>
                  <w:left w:color="001dae" w:space="0" w:sz="4" w:val="single"/>
                  <w:bottom w:color="001dae" w:space="0" w:sz="4" w:val="single"/>
                  <w:right w:color="001dae" w:space="0" w:sz="4" w:val="single"/>
                </w:tcBorders>
                <w:shd w:fill="001dae" w:val="clear"/>
                <w:vAlign w:val="center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40" w:before="40" w:line="240" w:lineRule="auto"/>
                  <w:jc w:val="left"/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PSR</w:t>
                </w:r>
              </w:p>
            </w:tc>
            <w:tc>
              <w:tcPr>
                <w:tcBorders>
                  <w:top w:color="001dae" w:space="0" w:sz="4" w:val="single"/>
                  <w:left w:color="001dae" w:space="0" w:sz="4" w:val="single"/>
                  <w:bottom w:color="001dae" w:space="0" w:sz="4" w:val="single"/>
                  <w:right w:color="001dae" w:space="0" w:sz="4" w:val="single"/>
                </w:tcBorders>
                <w:shd w:fill="001dae" w:val="clear"/>
                <w:vAlign w:val="center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40" w:before="40" w:line="240" w:lineRule="auto"/>
                  <w:jc w:val="left"/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Recomendaciones</w:t>
                </w:r>
              </w:p>
            </w:tc>
            <w:tc>
              <w:tcPr>
                <w:tcBorders>
                  <w:top w:color="001dae" w:space="0" w:sz="4" w:val="single"/>
                  <w:left w:color="001dae" w:space="0" w:sz="4" w:val="single"/>
                  <w:bottom w:color="001dae" w:space="0" w:sz="4" w:val="single"/>
                  <w:right w:color="001dae" w:space="0" w:sz="4" w:val="single"/>
                </w:tcBorders>
                <w:shd w:fill="001dae" w:val="clear"/>
                <w:vAlign w:val="center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40" w:before="40" w:line="240" w:lineRule="auto"/>
                  <w:jc w:val="left"/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Evaluación</w:t>
                </w:r>
              </w:p>
            </w:tc>
            <w:tc>
              <w:tcPr>
                <w:tcBorders>
                  <w:top w:color="001dae" w:space="0" w:sz="4" w:val="single"/>
                  <w:left w:color="001dae" w:space="0" w:sz="4" w:val="single"/>
                  <w:bottom w:color="001dae" w:space="0" w:sz="4" w:val="single"/>
                  <w:right w:color="001dae" w:space="0" w:sz="4" w:val="single"/>
                </w:tcBorders>
                <w:shd w:fill="001dae" w:val="clear"/>
                <w:vAlign w:val="center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40" w:before="40" w:line="240" w:lineRule="auto"/>
                  <w:jc w:val="left"/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Sugerencias de mejora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54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 Etiquetas PHP — usar &lt;?php o &lt;?= únicamente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5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Cumple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56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58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2.2. Codificación — UTF-8 sin BOM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5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Cumple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5A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5C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2.3. Side effects — un archivo no debería declarar símbolos Y producir salida a la vez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5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cumple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5E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archivo ejecuta lógica de conexión y consulta, y además genera HTML. Separar en un archivo de configuración (config.php) y un archivo de vista (catalogo.php) que solo renderiza.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40" w:before="40" w:line="252.00000000000003" w:lineRule="auto"/>
                  <w:jc w:val="left"/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60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Indentación: 4 espacios, sin tabulaciones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6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Cumple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62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40" w:before="40" w:line="252.00000000000003" w:lineRule="auto"/>
                  <w:jc w:val="left"/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64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Longitud de línea: máximo 80 caracteres recomendado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6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Cumple parcialmente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66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La línea del SELECT supera los 80 caracteres. Se dividió la query en variable multilínea con indentación consistente.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40" w:before="40" w:line="252.00000000000003" w:lineRule="auto"/>
                  <w:jc w:val="left"/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68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Estructuras de control: siempre con llaves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6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Cumple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6A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 usan sintaxis alternativas (if:/endif:) correctamente en contexto HTML.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40" w:before="40" w:line="252.00000000000003" w:lineRule="auto"/>
                  <w:jc w:val="left"/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6C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Espaciado: espacio entre palabra clave y paréntesis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6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Cumple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6E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6F">
                <w:pPr>
                  <w:widowControl w:val="0"/>
                  <w:spacing w:after="40" w:before="40" w:line="252.00000000000003" w:lineRule="auto"/>
                  <w:jc w:val="left"/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70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Una declaración por línea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7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Cumple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72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73">
                <w:pPr>
                  <w:widowControl w:val="0"/>
                  <w:spacing w:after="40" w:before="40" w:line="252.00000000000003" w:lineRule="auto"/>
                  <w:jc w:val="left"/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EC-STD-PHP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74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Cabecera de archivo con PHPDoc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7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Cumple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76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77">
                <w:pPr>
                  <w:widowControl w:val="0"/>
                  <w:spacing w:after="40" w:before="40" w:line="252.00000000000003" w:lineRule="auto"/>
                  <w:jc w:val="left"/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EC-STD-PHP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78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Variables en camelCase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7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Cumple:</w:t>
                  <w:br w:type="textWrapping"/>
                  <w:t xml:space="preserve">$pdo</w:t>
                  <w:br w:type="textWrapping"/>
                  <w:t xml:space="preserve">$stmt</w:t>
                  <w:br w:type="textWrapping"/>
                  <w:t xml:space="preserve">$muebles</w:t>
                  <w:br w:type="textWrapping"/>
                  <w:t xml:space="preserve">$mueble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7A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7B">
                <w:pPr>
                  <w:widowControl w:val="0"/>
                  <w:spacing w:after="40" w:before="40" w:line="252.00000000000003" w:lineRule="auto"/>
                  <w:jc w:val="left"/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EC-STD-PHP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7C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Comentarios explican el por qué, no el qué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7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Cumple parcialmente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7E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comentario “// Configuración de conexión” describe el qué. Podría eliminarse dado que el código es autoexplicativo.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7F">
                <w:pPr>
                  <w:widowControl w:val="0"/>
                  <w:spacing w:after="40" w:before="40" w:line="252.00000000000003" w:lineRule="auto"/>
                  <w:jc w:val="left"/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EC-STD-PHP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80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Funciones documentadas con PHPDoc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8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aplica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82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 hay funciones declaradas en este archivo, la lógica es procedimental.</w:t>
                </w:r>
              </w:p>
            </w:tc>
          </w:tr>
        </w:tbl>
      </w:sdtContent>
    </w:sdt>
    <w:p w:rsidR="00000000" w:rsidDel="00000000" w:rsidP="00000000" w:rsidRDefault="00000000" w:rsidRPr="00000000" w14:paraId="00000083">
      <w:pPr>
        <w:pStyle w:val="Heading2"/>
        <w:rPr>
          <w:color w:val="2b3358"/>
        </w:rPr>
      </w:pPr>
      <w:bookmarkStart w:colFirst="0" w:colLast="0" w:name="_heading=h.mmd27r91q4u6" w:id="1"/>
      <w:bookmarkEnd w:id="1"/>
      <w:r w:rsidDel="00000000" w:rsidR="00000000" w:rsidRPr="00000000">
        <w:rPr>
          <w:rtl w:val="0"/>
        </w:rPr>
        <w:t xml:space="preserve">3.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b3358"/>
          <w:rtl w:val="0"/>
        </w:rPr>
        <w:t xml:space="preserve">Elabore una tabla y relacione las recomendaciones PSR-1, PSR-12 y PSR-4 con los atributos de calidad descritos en ISO 25010.</w:t>
      </w:r>
      <w:r w:rsidDel="00000000" w:rsidR="00000000" w:rsidRPr="00000000">
        <w:rPr>
          <w:rtl w:val="0"/>
        </w:rPr>
      </w:r>
    </w:p>
    <w:sdt>
      <w:sdtPr>
        <w:lock w:val="contentLocked"/>
        <w:id w:val="-1030642312"/>
        <w:tag w:val="goog_rdk_4"/>
      </w:sdtPr>
      <w:sdtContent>
        <w:tbl>
          <w:tblPr>
            <w:tblStyle w:val="Table5"/>
            <w:tblW w:w="9270.0" w:type="dxa"/>
            <w:jc w:val="left"/>
            <w:tblLayout w:type="fixed"/>
            <w:tblLook w:val="0400"/>
          </w:tblPr>
          <w:tblGrid>
            <w:gridCol w:w="735"/>
            <w:gridCol w:w="2085"/>
            <w:gridCol w:w="1755"/>
            <w:gridCol w:w="4695"/>
            <w:tblGridChange w:id="0">
              <w:tblGrid>
                <w:gridCol w:w="735"/>
                <w:gridCol w:w="2085"/>
                <w:gridCol w:w="1755"/>
                <w:gridCol w:w="469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1dae" w:space="0" w:sz="4" w:val="single"/>
                  <w:left w:color="001dae" w:space="0" w:sz="4" w:val="single"/>
                  <w:bottom w:color="001dae" w:space="0" w:sz="4" w:val="single"/>
                  <w:right w:color="001dae" w:space="0" w:sz="4" w:val="single"/>
                </w:tcBorders>
                <w:shd w:fill="001dae" w:val="clear"/>
                <w:vAlign w:val="center"/>
              </w:tcPr>
              <w:p w:rsidR="00000000" w:rsidDel="00000000" w:rsidP="00000000" w:rsidRDefault="00000000" w:rsidRPr="00000000" w14:paraId="00000085">
                <w:pPr>
                  <w:widowControl w:val="0"/>
                  <w:spacing w:after="40" w:before="40" w:line="240" w:lineRule="auto"/>
                  <w:jc w:val="left"/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PSR</w:t>
                </w:r>
              </w:p>
            </w:tc>
            <w:tc>
              <w:tcPr>
                <w:tcBorders>
                  <w:top w:color="001dae" w:space="0" w:sz="4" w:val="single"/>
                  <w:left w:color="001dae" w:space="0" w:sz="4" w:val="single"/>
                  <w:bottom w:color="001dae" w:space="0" w:sz="4" w:val="single"/>
                  <w:right w:color="001dae" w:space="0" w:sz="4" w:val="single"/>
                </w:tcBorders>
                <w:shd w:fill="001dae" w:val="clear"/>
                <w:vAlign w:val="center"/>
              </w:tcPr>
              <w:p w:rsidR="00000000" w:rsidDel="00000000" w:rsidP="00000000" w:rsidRDefault="00000000" w:rsidRPr="00000000" w14:paraId="00000086">
                <w:pPr>
                  <w:widowControl w:val="0"/>
                  <w:spacing w:after="40" w:before="40" w:line="240" w:lineRule="auto"/>
                  <w:jc w:val="left"/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Recomendación</w:t>
                </w:r>
              </w:p>
            </w:tc>
            <w:tc>
              <w:tcPr>
                <w:tcBorders>
                  <w:top w:color="001dae" w:space="0" w:sz="4" w:val="single"/>
                  <w:left w:color="001dae" w:space="0" w:sz="4" w:val="single"/>
                  <w:bottom w:color="001dae" w:space="0" w:sz="4" w:val="single"/>
                  <w:right w:color="001dae" w:space="0" w:sz="4" w:val="single"/>
                </w:tcBorders>
                <w:shd w:fill="001dae" w:val="clear"/>
                <w:vAlign w:val="center"/>
              </w:tcPr>
              <w:p w:rsidR="00000000" w:rsidDel="00000000" w:rsidP="00000000" w:rsidRDefault="00000000" w:rsidRPr="00000000" w14:paraId="00000087">
                <w:pPr>
                  <w:widowControl w:val="0"/>
                  <w:spacing w:after="40" w:before="40" w:line="240" w:lineRule="auto"/>
                  <w:jc w:val="left"/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Atributo ISO 25010</w:t>
                </w:r>
              </w:p>
            </w:tc>
            <w:tc>
              <w:tcPr>
                <w:tcBorders>
                  <w:top w:color="001dae" w:space="0" w:sz="4" w:val="single"/>
                  <w:left w:color="001dae" w:space="0" w:sz="4" w:val="single"/>
                  <w:bottom w:color="001dae" w:space="0" w:sz="4" w:val="single"/>
                  <w:right w:color="001dae" w:space="0" w:sz="4" w:val="single"/>
                </w:tcBorders>
                <w:shd w:fill="001dae" w:val="clear"/>
                <w:vAlign w:val="center"/>
              </w:tcPr>
              <w:p w:rsidR="00000000" w:rsidDel="00000000" w:rsidP="00000000" w:rsidRDefault="00000000" w:rsidRPr="00000000" w14:paraId="00000088">
                <w:pPr>
                  <w:widowControl w:val="0"/>
                  <w:spacing w:after="40" w:before="40" w:line="240" w:lineRule="auto"/>
                  <w:jc w:val="left"/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Justificación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89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8A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Uso exclusivo de etiquetas &lt;?php y &lt;?=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8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Compatibilidad (Portability)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8C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Evita etiquetas cortas (&lt;?) que pueden estar deshabilitadas en algunos servidores, garantizando que el código funcione en distintos entornos.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8D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Codificación UTF-8 sin BOM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8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Compatibilidad (Portability)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90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Asegura que el código se interprete correctamente en cualquier servidor y navegador, independientemente del sistema operativo.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40" w:before="40" w:line="252.00000000000003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2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Separación de side effects y declaraciones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Mantenibilidad (Modularity)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4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 archivo con una sola responsabilidad es más fácil de modificar, reutilizar y probar sin efectos inesperados en otras partes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40" w:before="40" w:line="252.00000000000003" w:lineRule="auto"/>
                  <w:jc w:val="left"/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96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Nombres de clases en PascalCase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9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Mantenibilidad (Modularity)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98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La consistencia en la nomenclatura reduce el esfuerzo cognitivo al leer código escrito por distintos desarrolladores.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40" w:before="40" w:line="252.00000000000003" w:lineRule="auto"/>
                  <w:jc w:val="left"/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A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Constantes en mayúsculas con guión bajo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Mantenibilidad (Readability)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9C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Distingue visualmente las constantes de las variables, reduciendo errores de lectura e interpretación.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40" w:before="40" w:line="252.00000000000003" w:lineRule="auto"/>
                  <w:jc w:val="left"/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9E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Indentación de 4 espacios sin tabulaciones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9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Mantenibilidad (Readability)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A0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Garantiza que el código se visualice de forma consistente en cualquier editor, independientemente de la configuración de tabulaciones.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40" w:before="40" w:line="252.00000000000003" w:lineRule="auto"/>
                  <w:jc w:val="left"/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A2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Longitud de línea máxima de 80 caracteres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A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Mantenibilidad (Readability)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A4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el código sin scroll horizontal, facilitando la revisión y las comparaciones de versiones en herramientas como GitHub.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40" w:before="40" w:line="252.00000000000003" w:lineRule="auto"/>
                  <w:jc w:val="left"/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A6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Llaves obligatorias en estructuras de control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A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Confiabilidad (Fault Tolerance)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A8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Previene bugs sutiles al agregar líneas a un bloque que originalmente tenía una sola sentencia sin llaves.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A9">
                <w:pPr>
                  <w:widowControl w:val="0"/>
                  <w:spacing w:after="40" w:before="40" w:line="252.00000000000003" w:lineRule="auto"/>
                  <w:jc w:val="left"/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AA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Una sola declaración por línea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A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Mantenibilidad (Analyzability)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AC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Facilita la lectura del historial de cambios en Git: cada línea modificada corresponde a una sola acción, simplificando el diff.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AD">
                <w:pPr>
                  <w:widowControl w:val="0"/>
                  <w:spacing w:after="40" w:before="40" w:line="252.00000000000003" w:lineRule="auto"/>
                  <w:jc w:val="left"/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AE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Espaciado consistente en operadores y comas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A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Mantenibilidad (Readability)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B0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Reduce el esfuerzo de lectura al separar visualmente los operandos y argumentos, especialmente en expresiones complejas.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B1">
                <w:pPr>
                  <w:widowControl w:val="0"/>
                  <w:spacing w:after="40" w:before="40" w:line="252.00000000000003" w:lineRule="auto"/>
                  <w:jc w:val="left"/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B2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Autoloading basado en namespaces y estructura de directorios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B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Mantenibilidad (Modularity)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B4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Cada clase en su propio archivo con un nombre predecible permite cargar únicamente lo necesario, reduciendo el acoplamiento entre componentes.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B5">
                <w:pPr>
                  <w:widowControl w:val="0"/>
                  <w:spacing w:after="40" w:before="40" w:line="252.00000000000003" w:lineRule="auto"/>
                  <w:jc w:val="left"/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B6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Correspondencia entre namespace y ruta de archivo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B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Mantenibilidad (Analyzability)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3f3f3" w:val="clear"/>
                <w:vAlign w:val="center"/>
              </w:tcPr>
              <w:p w:rsidR="00000000" w:rsidDel="00000000" w:rsidP="00000000" w:rsidRDefault="00000000" w:rsidRPr="00000000" w14:paraId="000000B8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localizar cualquier clase del proyecto sin necesidad de buscar: la ruta del archivo se deduce directamente del namespace.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B9">
                <w:pPr>
                  <w:widowControl w:val="0"/>
                  <w:spacing w:after="40" w:before="40" w:line="252.00000000000003" w:lineRule="auto"/>
                  <w:jc w:val="left"/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1dae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BA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 namespace por archivo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B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Mantenibilidad (Modularity) </w:t>
                </w:r>
              </w:p>
            </w:tc>
            <w:tc>
              <w:tcPr>
                <w:tcBorders>
                  <w:top w:color="dce0ee" w:space="0" w:sz="4" w:val="single"/>
                  <w:left w:color="dce0ee" w:space="0" w:sz="4" w:val="single"/>
                  <w:bottom w:color="dce0ee" w:space="0" w:sz="4" w:val="single"/>
                  <w:right w:color="dce0ee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BC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Delimita claramente las responsabilidades de cada archivo, facilitando el reemplazo o la modificación de componentes individuales sin afectar al resto. </w:t>
                </w:r>
              </w:p>
            </w:tc>
          </w:tr>
        </w:tbl>
      </w:sdtContent>
    </w:sdt>
    <w:p w:rsidR="00000000" w:rsidDel="00000000" w:rsidP="00000000" w:rsidRDefault="00000000" w:rsidRPr="00000000" w14:paraId="000000BD">
      <w:pPr>
        <w:pStyle w:val="Heading2"/>
        <w:rPr>
          <w:color w:val="2b3358"/>
        </w:rPr>
      </w:pPr>
      <w:bookmarkStart w:colFirst="0" w:colLast="0" w:name="_heading=h.dozkkv7k8oe8" w:id="2"/>
      <w:bookmarkEnd w:id="2"/>
      <w:r w:rsidDel="00000000" w:rsidR="00000000" w:rsidRPr="00000000">
        <w:rPr>
          <w:rtl w:val="0"/>
        </w:rPr>
        <w:t xml:space="preserve">4.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lineRule="auto"/>
        <w:rPr>
          <w:b w:val="1"/>
          <w:bCs w:val="1"/>
          <w:color w:val="2b3358"/>
        </w:rPr>
      </w:pPr>
      <w:r w:rsidDel="00000000" w:rsidR="00000000" w:rsidRPr="00000000">
        <w:rPr>
          <w:b w:val="1"/>
          <w:bCs w:val="1"/>
          <w:color w:val="2b3358"/>
          <w:rtl w:val="0"/>
        </w:rPr>
        <w:t xml:space="preserve">Actualice el plan de SQA. Incorpore recomendaciones relacionadas al uso de estándares de documentación, estándares de codificación y herramientas para su evaluación.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Plan de SQA del proyecto (EC-SQA-PLN) fue actualizado para incorporar las recomendaciones derivadas del análisis de calidad interna realizado en el presente trabajo práctico. A continuación se detallan los cambios introducidos.</w:t>
      </w:r>
    </w:p>
    <w:p w:rsidR="00000000" w:rsidDel="00000000" w:rsidP="00000000" w:rsidRDefault="00000000" w:rsidRPr="00000000" w14:paraId="000000C0">
      <w:pPr>
        <w:spacing w:after="8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Estándares de codificación: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incorporaron formalmente los estándares PSR-1 y PSR-12 del PHP Framework Interop Group (PHP-FIG) como referencias de codificación obligatorias para el proyecto, complementando el estándar de programación PHP definido en EC-STD-PHP. Estos estándares ya estaban mencionados en la sección 5.1 del Plan de SQA dentro de la tabla de estándares adoptados, pero se explicita aquí su alcance concreto: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PSR-1 establece las convenciones básicas de codificación: etiquetas PHP, codificación de archivos, nomenclatura de clases y constantes, y separación de side effects.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PSR-12 extiende PSR-1 con reglas de estilo detalladas: indentación, longitud de línea, espaciado, uso de llaves en estructuras de control y declaración de tipos.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estándares son verificables automáticamente mediante PHP Code Sniffer, incorporado como herramienta de soporte en la sección 8 del Plan de SQA.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Estándares de documentación confirmados: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estándar de documentación inline del código se confirma en EC-STD-PHP: todo archivo PHP debe incluir una cabecera con PHPDoc, y toda función declarada debe estar documentada con su descripción, parámetros y valor de retorno. Esta práctica se alinea con el atributo de Mantenibilidad (Analyzability) de ISO/IEC 25010, al garantizar que el código sea comprensible por un desarrollador independiente del equipo original.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Herramientas de evaluación incorporadas: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incorporan dos herramientas de análisis estático a la sección 8 del Plan de SQA, ya listadas en la tabla de herramientas: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PHP Code Sniffer (PHPCS): verifica automáticamente el cumplimiento de PSR-1 y PSR-12 sobre el código fuente PHP. Se ejecuta sobre la carpeta 05-implementacion/php/ antes de cada merge a main, como parte del proceso de auditoría funcional (FCA) definido en la sección 6.3 del Plan de SQA.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PHP Mess Detector (PHPMD): detecta problemas de diseño, complejidad y código no utilizado. Se ejecuta con los rulesets codesize, unusedcode, naming y cleancode. Los hallazgos se registran como Issues en GitHub con etiqueta audit.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del archivo </w:t>
      </w:r>
      <w:r w:rsidDel="00000000" w:rsidR="00000000" w:rsidRPr="00000000">
        <w:rPr>
          <w:b w:val="1"/>
          <w:bCs w:val="1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 realizado en la actividad 2 reveló dos incumplimientos parciales: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primero corresponde a PSR-1, sección 2.3 (side effects): el archivo combina lógica de conexión a la base de datos con generación de HTML en un mismo archivo. La corrección propuesta es separar la configuración de la conexión en un archivo config.php independiente, reduciendo el acoplamiento y mejorando la modularidad del sistema.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segundo corresponde a la longitud de línea: la consulta SQL supera los 80 caracteres recomendados por PSR-12. La corrección propuesta es dividir la query en una variable multilínea con indentación consistente.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correcciones fueron registradas como Issues en el repositorio GitHub del proyecto con etiqueta scr para su seguimiento formal.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type w:val="nextPage"/>
      <w:pgSz w:h="15840" w:w="12240" w:orient="portrait"/>
      <w:pgMar w:bottom="1440" w:top="1620" w:left="1440" w:right="1440" w:header="720" w:footer="5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5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356.0" w:type="dxa"/>
      <w:jc w:val="left"/>
      <w:tblBorders>
        <w:top w:color="001dae" w:space="0" w:sz="10" w:val="single"/>
      </w:tblBorders>
      <w:tblLayout w:type="fixed"/>
      <w:tblLook w:val="0000"/>
    </w:tblPr>
    <w:tblGrid>
      <w:gridCol w:w="7556"/>
      <w:gridCol w:w="1800"/>
      <w:tblGridChange w:id="0">
        <w:tblGrid>
          <w:gridCol w:w="7556"/>
          <w:gridCol w:w="1800"/>
        </w:tblGrid>
      </w:tblGridChange>
    </w:tblGrid>
    <w:tr>
      <w:trPr>
        <w:cantSplit w:val="0"/>
        <w:trHeight w:val="46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D7">
          <w:pPr>
            <w:spacing w:after="0" w:line="240" w:lineRule="auto"/>
            <w:jc w:val="left"/>
            <w:rPr/>
          </w:pPr>
          <w:r w:rsidDel="00000000" w:rsidR="00000000" w:rsidRPr="00000000">
            <w:rPr>
              <w:rFonts w:ascii="Georgia" w:cs="Georgia" w:eastAsia="Georgia" w:hAnsi="Georgia"/>
              <w:b w:val="1"/>
              <w:bCs w:val="1"/>
              <w:color w:val="0a1e5c"/>
              <w:sz w:val="17"/>
              <w:szCs w:val="17"/>
              <w:rtl w:val="0"/>
            </w:rPr>
            <w:t xml:space="preserve">Gargaglione, G</w:t>
          </w:r>
          <w:r w:rsidDel="00000000" w:rsidR="00000000" w:rsidRPr="00000000">
            <w:rPr>
              <w:rFonts w:ascii="Georgia" w:cs="Georgia" w:eastAsia="Georgia" w:hAnsi="Georgia"/>
              <w:color w:val="9db0ff"/>
              <w:sz w:val="17"/>
              <w:szCs w:val="17"/>
              <w:rtl w:val="0"/>
            </w:rPr>
            <w:t xml:space="preserve">   •   </w:t>
          </w:r>
          <w:r w:rsidDel="00000000" w:rsidR="00000000" w:rsidRPr="00000000">
            <w:rPr>
              <w:rFonts w:ascii="Georgia" w:cs="Georgia" w:eastAsia="Georgia" w:hAnsi="Georgia"/>
              <w:color w:val="7c86ae"/>
              <w:sz w:val="15"/>
              <w:szCs w:val="15"/>
              <w:rtl w:val="0"/>
            </w:rPr>
            <w:t xml:space="preserve">2026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D8">
          <w:pPr>
            <w:spacing w:after="0" w:line="240" w:lineRule="auto"/>
            <w:jc w:val="right"/>
            <w:rPr/>
          </w:pPr>
          <w:r w:rsidDel="00000000" w:rsidR="00000000" w:rsidRPr="00000000">
            <w:rPr>
              <w:rFonts w:ascii="Georgia" w:cs="Georgia" w:eastAsia="Georgia" w:hAnsi="Georgia"/>
              <w:color w:val="7c86ae"/>
              <w:sz w:val="15"/>
              <w:szCs w:val="15"/>
              <w:rtl w:val="0"/>
            </w:rPr>
            <w:t xml:space="preserve">PÁGINA  </w:t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color w:val="ffffff"/>
              <w:sz w:val="20"/>
              <w:szCs w:val="20"/>
              <w:shd w:fill="001dae" w:val="clear"/>
              <w:rtl w:val="0"/>
            </w:rPr>
            <w:t xml:space="preserve"> </w:t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color w:val="ffffff"/>
              <w:sz w:val="20"/>
              <w:szCs w:val="20"/>
              <w:shd w:fill="001dae" w:val="clear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color w:val="ffffff"/>
              <w:sz w:val="20"/>
              <w:szCs w:val="20"/>
              <w:shd w:fill="001dae" w:val="clear"/>
              <w:rtl w:val="0"/>
            </w:rPr>
            <w:t xml:space="preserve"> 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5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5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widowControl w:val="1"/>
      <w:pBdr>
        <w:top w:space="0" w:sz="0" w:val="nil"/>
        <w:left w:space="0" w:sz="0" w:val="nil"/>
        <w:bottom w:color="001dae" w:space="6" w:sz="10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56"/>
        <w:tab w:val="right" w:leader="none" w:pos="935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1"/>
        <w:bCs w:val="1"/>
        <w:i w:val="0"/>
        <w:iCs w:val="0"/>
        <w:smallCaps w:val="0"/>
        <w:strike w:val="0"/>
        <w:color w:val="001dae"/>
        <w:sz w:val="16"/>
        <w:szCs w:val="16"/>
        <w:u w:val="none"/>
        <w:shd w:fill="auto" w:val="clear"/>
        <w:vertAlign w:val="baseline"/>
        <w:rtl w:val="0"/>
      </w:rPr>
      <w:t xml:space="preserve">GESTIÓN DE CALIDAD</w:t>
    </w: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9db0ff"/>
        <w:sz w:val="16"/>
        <w:szCs w:val="16"/>
        <w:u w:val="none"/>
        <w:shd w:fill="auto" w:val="clear"/>
        <w:vertAlign w:val="baseline"/>
        <w:rtl w:val="0"/>
      </w:rPr>
      <w:t xml:space="preserve">  –  </w:t>
    </w: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5566a8"/>
        <w:sz w:val="16"/>
        <w:szCs w:val="16"/>
        <w:u w:val="none"/>
        <w:shd w:fill="auto" w:val="clear"/>
        <w:vertAlign w:val="baseline"/>
        <w:rtl w:val="0"/>
      </w:rPr>
      <w:t xml:space="preserve">Trabajo Práctico N°</w:t>
    </w:r>
    <w:r w:rsidDel="00000000" w:rsidR="00000000" w:rsidRPr="00000000">
      <w:rPr>
        <w:rFonts w:ascii="Georgia" w:cs="Georgia" w:eastAsia="Georgia" w:hAnsi="Georgia"/>
        <w:color w:val="5566a8"/>
        <w:sz w:val="16"/>
        <w:szCs w:val="16"/>
        <w:rtl w:val="0"/>
      </w:rPr>
      <w:t xml:space="preserve"> 7.1</w:t>
    </w: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5566a8"/>
        <w:sz w:val="16"/>
        <w:szCs w:val="1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Georgia" w:cs="Georgia" w:eastAsia="Georgia" w:hAnsi="Georgia"/>
        <w:b w:val="1"/>
        <w:bCs w:val="1"/>
        <w:color w:val="5566a8"/>
        <w:sz w:val="16"/>
        <w:szCs w:val="16"/>
        <w:rtl w:val="0"/>
      </w:rPr>
      <w:t xml:space="preserve">Evaluación de Calidad Interna del Producto Software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3358"/>
        <w:sz w:val="22"/>
        <w:szCs w:val="22"/>
        <w:lang w:val="es-AR"/>
      </w:rPr>
    </w:rPrDefault>
    <w:pPrDefault>
      <w:pPr>
        <w:spacing w:after="8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80" w:line="240" w:lineRule="auto"/>
      <w:jc w:val="left"/>
    </w:pPr>
    <w:rPr>
      <w:rFonts w:ascii="Georgia" w:cs="Georgia" w:eastAsia="Georgia" w:hAnsi="Georgia"/>
      <w:b w:val="1"/>
      <w:bCs w:val="1"/>
      <w:color w:val="0a1e5c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320" w:line="240" w:lineRule="auto"/>
      <w:jc w:val="left"/>
    </w:pPr>
    <w:rPr>
      <w:rFonts w:ascii="Georgia" w:cs="Georgia" w:eastAsia="Georgia" w:hAnsi="Georgia"/>
      <w:b w:val="1"/>
      <w:bCs w:val="1"/>
      <w:color w:val="001dae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20" w:line="240" w:lineRule="auto"/>
      <w:jc w:val="left"/>
    </w:pPr>
    <w:rPr>
      <w:rFonts w:ascii="Georgia" w:cs="Georgia" w:eastAsia="Georgia" w:hAnsi="Georgia"/>
      <w:b w:val="1"/>
      <w:bCs w:val="1"/>
      <w:color w:val="3a4677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Rule="auto"/>
      <w:jc w:val="left"/>
    </w:pPr>
    <w:rPr>
      <w:rFonts w:ascii="Georgia" w:cs="Georgia" w:eastAsia="Georgia" w:hAnsi="Georgia"/>
      <w:b w:val="1"/>
      <w:bCs w:val="1"/>
      <w:color w:val="0a1e5c"/>
      <w:sz w:val="72"/>
      <w:szCs w:val="72"/>
    </w:rPr>
  </w:style>
  <w:style w:type="paragraph" w:styleId="Subtitle">
    <w:name w:val="Subtitle"/>
    <w:basedOn w:val="Normal"/>
    <w:next w:val="Normal"/>
    <w:pPr>
      <w:spacing w:after="0" w:lineRule="auto"/>
      <w:jc w:val="left"/>
    </w:pPr>
    <w:rPr>
      <w:rFonts w:ascii="Georgia" w:cs="Georgia" w:eastAsia="Georgia" w:hAnsi="Georgia"/>
      <w:color w:val="5566a8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70.0" w:type="dxa"/>
        <w:left w:w="108.0" w:type="dxa"/>
        <w:bottom w:w="7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0.0" w:type="dxa"/>
        <w:left w:w="108.0" w:type="dxa"/>
        <w:bottom w:w="7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0.0" w:type="dxa"/>
        <w:left w:w="108.0" w:type="dxa"/>
        <w:bottom w:w="7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0.0" w:type="dxa"/>
        <w:left w:w="108.0" w:type="dxa"/>
        <w:bottom w:w="7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0.0" w:type="dxa"/>
        <w:left w:w="108.0" w:type="dxa"/>
        <w:bottom w:w="7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trac.edgewall.org/wiki/TracChangeLog" TargetMode="External"/><Relationship Id="rId13" Type="http://schemas.openxmlformats.org/officeDocument/2006/relationships/header" Target="header2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ju571Jsc9fLclEXbzfxcgEH3Ew==">CgMxLjAaHwoBMBIaChgICVIUChJ0YWJsZS5vZXRqODZrM2R6NzcaHwoBMRIaChgICVIUChJ0YWJsZS5lODhtM3k0Y212YjUaHwoBMhIaChgICVIUChJ0YWJsZS4xeGcwdDFrbW40NzkaHwoBMxIaChgICVIUChJ0YWJsZS5qcGN5anRsaGdqMDMaHwoBNBIaChgICVIUChJ0YWJsZS5uY3phMmk0YTBkemcyDmgudnFiYXdqOGF6Z2YyMg5oLm1tZDI3cjkxcTR1NjIOaC5kb3pra3Y3azhvZTg4AHIhMVlldV9CNkJCdUhkRkJjYjktN0tPNlhxYnBtSVQwOG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