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vertAlign w:val="baseline"/>
          <w:rtl w:val="0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Ordena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13/05/2025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wihcx4t0w5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tp0cw3xq45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z51wljdqwv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 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o0mh9l10z1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qa4mnfxtbw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Autenticación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2n1h1yq4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ku8xds2sm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Inventario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t7oy151e3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0aq2l5tx6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Empleados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8ipzrvnop2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sijyumjco8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Actores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2ecnesm4z0l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80" w:before="280" w:line="240" w:lineRule="auto"/>
        <w:rPr/>
      </w:pPr>
      <w:bookmarkStart w:colFirst="0" w:colLast="0" w:name="_heading=h.pplnwumhwaj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wihcx4t0w5df" w:id="2"/>
      <w:bookmarkEnd w:id="2"/>
      <w:r w:rsidDel="00000000" w:rsidR="00000000" w:rsidRPr="00000000">
        <w:rPr>
          <w:vertAlign w:val="baseline"/>
          <w:rtl w:val="0"/>
        </w:rPr>
        <w:t xml:space="preserve">Historial de Versiones</w:t>
      </w:r>
    </w:p>
    <w:tbl>
      <w:tblPr>
        <w:tblStyle w:val="Table1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7"/>
        <w:gridCol w:w="1173"/>
        <w:gridCol w:w="1803"/>
        <w:gridCol w:w="1828"/>
        <w:gridCol w:w="2925"/>
        <w:tblGridChange w:id="0">
          <w:tblGrid>
            <w:gridCol w:w="1217"/>
            <w:gridCol w:w="1173"/>
            <w:gridCol w:w="1803"/>
            <w:gridCol w:w="1828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13/05/2025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Fabian Olate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Ordena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xtp0cw3xq45n" w:id="3"/>
      <w:bookmarkEnd w:id="3"/>
      <w:r w:rsidDel="00000000" w:rsidR="00000000" w:rsidRPr="00000000">
        <w:rPr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Ordena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“Ordena”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13/05/2025</w:t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vertAlign w:val="baseline"/>
        </w:rPr>
      </w:pPr>
      <w:bookmarkStart w:colFirst="0" w:colLast="0" w:name="_heading=h.5bvz50mugy9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vertAlign w:val="baseline"/>
        </w:rPr>
      </w:pPr>
      <w:bookmarkStart w:colFirst="0" w:colLast="0" w:name="_heading=h.fz51wljdqwv1" w:id="5"/>
      <w:bookmarkEnd w:id="5"/>
      <w:r w:rsidDel="00000000" w:rsidR="00000000" w:rsidRPr="00000000">
        <w:rPr>
          <w:vertAlign w:val="baseline"/>
          <w:rtl w:val="0"/>
        </w:rPr>
        <w:t xml:space="preserve">Resumen Ejecutivo 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Este documento describe los principales procesos y funcionalidades del sistema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"Ordena"</w:t>
      </w:r>
      <w:r w:rsidDel="00000000" w:rsidR="00000000" w:rsidRPr="00000000">
        <w:rPr>
          <w:color w:val="000000"/>
          <w:vertAlign w:val="baseline"/>
          <w:rtl w:val="0"/>
        </w:rPr>
        <w:t xml:space="preserve">, enfocado en la gestión de inventario y pedidos para una cadena de ferreterías. Se abordan procesos clave como el control de stock, registro de pedidos, gestión de empleados, visualización de datos en un dashboard y seguimiento mediante un historial centralizado.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Los casos de uso cubren interacciones esenciales entre los usuarios del sistema (administrador y empleados) con los siguientes módulos: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Inventario, Pedidos, Empleados, Dashboard, Historial, Reportes, Notificaciones y Autenticación</w:t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Las áreas organizacionales involucradas incluyen logística, ventas, recursos humanos y administración.</w:t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Este conjunto de casos de uso busca representar cómo el sistema mejora la trazabilidad, organización y eficiencia operativa dentro de la empresa.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oz905skqmle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280" w:before="280" w:line="240" w:lineRule="auto"/>
        <w:rPr/>
      </w:pPr>
      <w:bookmarkStart w:colFirst="0" w:colLast="0" w:name="_heading=h.7k39vgxbts0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280" w:before="280" w:line="240" w:lineRule="auto"/>
        <w:rPr/>
      </w:pPr>
      <w:bookmarkStart w:colFirst="0" w:colLast="0" w:name="_heading=h.me4e0yr7c45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after="280" w:before="280" w:line="240" w:lineRule="auto"/>
        <w:rPr/>
      </w:pPr>
      <w:bookmarkStart w:colFirst="0" w:colLast="0" w:name="_heading=h.wcx2axdgq2v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no0mh9l10z1n" w:id="10"/>
      <w:bookmarkEnd w:id="10"/>
      <w:r w:rsidDel="00000000" w:rsidR="00000000" w:rsidRPr="00000000">
        <w:rPr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84">
      <w:pPr>
        <w:pStyle w:val="Heading2"/>
        <w:shd w:fill="ffffff" w:val="clear"/>
        <w:spacing w:after="0" w:line="240" w:lineRule="auto"/>
        <w:rPr>
          <w:vertAlign w:val="baseline"/>
        </w:rPr>
      </w:pPr>
      <w:bookmarkStart w:colFirst="0" w:colLast="0" w:name="_heading=h.yqa4mnfxtbww" w:id="11"/>
      <w:bookmarkEnd w:id="11"/>
      <w:r w:rsidDel="00000000" w:rsidR="00000000" w:rsidRPr="00000000">
        <w:rPr>
          <w:rtl w:val="0"/>
        </w:rPr>
        <w:t xml:space="preserve">Autenticación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4619043" cy="2595761"/>
            <wp:effectExtent b="12700" l="12700" r="12700" t="12700"/>
            <wp:docPr id="10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3" cy="25957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>
          <w:b w:val="0"/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</w:rPr>
        <w:drawing>
          <wp:inline distB="0" distT="0" distL="114300" distR="114300">
            <wp:extent cx="4553903" cy="2905125"/>
            <wp:effectExtent b="12700" l="12700" r="12700" t="12700"/>
            <wp:docPr id="10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903" cy="2905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hd w:fill="ffffff" w:val="clear"/>
        <w:spacing w:after="0" w:line="240" w:lineRule="auto"/>
        <w:rPr/>
      </w:pPr>
      <w:bookmarkStart w:colFirst="0" w:colLast="0" w:name="_heading=h.22n1h1yq4jh" w:id="12"/>
      <w:bookmarkEnd w:id="12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Acceder a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color w:val="365f91"/>
        </w:rPr>
        <w:drawing>
          <wp:inline distB="114300" distT="114300" distL="114300" distR="114300">
            <wp:extent cx="4616104" cy="2578435"/>
            <wp:effectExtent b="12700" l="12700" r="12700" t="12700"/>
            <wp:docPr id="10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104" cy="25784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hd w:fill="ffffff" w:val="clear"/>
        <w:spacing w:after="0" w:line="240" w:lineRule="auto"/>
        <w:rPr/>
      </w:pPr>
      <w:bookmarkStart w:colFirst="0" w:colLast="0" w:name="_heading=h.lku8xds2smp9" w:id="13"/>
      <w:bookmarkEnd w:id="13"/>
      <w:r w:rsidDel="00000000" w:rsidR="00000000" w:rsidRPr="00000000">
        <w:rPr>
          <w:rtl w:val="0"/>
        </w:rPr>
        <w:t xml:space="preserve">Inventario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Acceder a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color w:val="365f91"/>
        </w:rPr>
        <w:drawing>
          <wp:inline distB="114300" distT="114300" distL="114300" distR="114300">
            <wp:extent cx="4677728" cy="2311067"/>
            <wp:effectExtent b="12700" l="12700" r="12700" t="12700"/>
            <wp:docPr id="10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728" cy="23110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Añadir a Inventario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color w:val="365f91"/>
        </w:rPr>
        <w:drawing>
          <wp:inline distB="114300" distT="114300" distL="114300" distR="114300">
            <wp:extent cx="4661386" cy="2144713"/>
            <wp:effectExtent b="12700" l="12700" r="12700" t="12700"/>
            <wp:docPr id="104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386" cy="21447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Editar en Inventario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77728" cy="1945744"/>
            <wp:effectExtent b="12700" l="12700" r="12700" t="12700"/>
            <wp:docPr id="103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728" cy="194574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Eliminar en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color w:val="365f91"/>
        </w:rPr>
        <w:drawing>
          <wp:inline distB="114300" distT="114300" distL="114300" distR="114300">
            <wp:extent cx="4687253" cy="2268025"/>
            <wp:effectExtent b="12700" l="12700" r="12700" t="12700"/>
            <wp:docPr id="10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253" cy="2268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Notificación Bajo Stock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color w:val="365f91"/>
        </w:rPr>
        <w:drawing>
          <wp:inline distB="114300" distT="114300" distL="114300" distR="114300">
            <wp:extent cx="4677728" cy="1493061"/>
            <wp:effectExtent b="12700" l="12700" r="12700" t="12700"/>
            <wp:docPr id="103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728" cy="14930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/>
      </w:pPr>
      <w:bookmarkStart w:colFirst="0" w:colLast="0" w:name="_heading=h.4f5vx42rdv2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/>
      </w:pPr>
      <w:bookmarkStart w:colFirst="0" w:colLast="0" w:name="_heading=h.9vzh9qhvy1p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/>
      </w:pPr>
      <w:bookmarkStart w:colFirst="0" w:colLast="0" w:name="_heading=h.ldf7mu7kjy1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/>
      </w:pPr>
      <w:bookmarkStart w:colFirst="0" w:colLast="0" w:name="_heading=h.olgp0kas07i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hd w:fill="ffffff" w:val="clear"/>
        <w:spacing w:after="0" w:line="240" w:lineRule="auto"/>
        <w:rPr/>
      </w:pPr>
      <w:bookmarkStart w:colFirst="0" w:colLast="0" w:name="_heading=h.st7oy151e3zr" w:id="18"/>
      <w:bookmarkEnd w:id="18"/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Acceder a Pedidos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4677728" cy="2120464"/>
            <wp:effectExtent b="12700" l="12700" r="12700" t="12700"/>
            <wp:docPr id="10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728" cy="21204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Registrar Pedidos Salida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4688278" cy="2507314"/>
            <wp:effectExtent b="12700" l="12700" r="12700" t="12700"/>
            <wp:docPr id="10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278" cy="25073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Registrar Pedidos Ingreso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4717394" cy="2306638"/>
            <wp:effectExtent b="12700" l="12700" r="12700" t="12700"/>
            <wp:docPr id="104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394" cy="23066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Detalle Pedido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4668203" cy="1838749"/>
            <wp:effectExtent b="12700" l="12700" r="12700" t="12700"/>
            <wp:docPr id="10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8203" cy="18387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heading=h.z0aq2l5tx66u" w:id="19"/>
      <w:bookmarkEnd w:id="19"/>
      <w:r w:rsidDel="00000000" w:rsidR="00000000" w:rsidRPr="00000000">
        <w:rPr>
          <w:rtl w:val="0"/>
        </w:rPr>
        <w:t xml:space="preserve">Empleados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Acceder a Empleados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4696778" cy="2208841"/>
            <wp:effectExtent b="12700" l="12700" r="12700" t="12700"/>
            <wp:docPr id="10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778" cy="220884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Añadir Empleado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4700648" cy="2035085"/>
            <wp:effectExtent b="12700" l="12700" r="12700" t="12700"/>
            <wp:docPr id="10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648" cy="20350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Editar 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4650761" cy="2692546"/>
            <wp:effectExtent b="12700" l="12700" r="12700" t="12700"/>
            <wp:docPr id="104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761" cy="269254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Eliminar Empleados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4772978" cy="2066399"/>
            <wp:effectExtent b="12700" l="12700" r="12700" t="12700"/>
            <wp:docPr id="10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978" cy="20663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heading=h.38ipzrvnop2n" w:id="20"/>
      <w:bookmarkEnd w:id="20"/>
      <w:r w:rsidDel="00000000" w:rsidR="00000000" w:rsidRPr="00000000">
        <w:rPr>
          <w:rtl w:val="0"/>
        </w:rPr>
        <w:t xml:space="preserve">Historial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Acceder a Historial (General)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6077626" cy="1730285"/>
            <wp:effectExtent b="12700" l="12700" r="12700" t="12700"/>
            <wp:docPr id="10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7626" cy="17302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Acceder a Historial (Inventario)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6096953" cy="2009775"/>
            <wp:effectExtent b="12700" l="12700" r="12700" t="12700"/>
            <wp:docPr id="10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953" cy="2009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Acceder a Historial (Pedidos)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5992178" cy="2105025"/>
            <wp:effectExtent b="12700" l="12700" r="12700" t="12700"/>
            <wp:docPr id="10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178" cy="2105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Acceder a Historial (Empleados)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968500"/>
            <wp:effectExtent b="12700" l="12700" r="12700" t="12700"/>
            <wp:docPr id="10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spacing w:after="280" w:before="280" w:line="240" w:lineRule="auto"/>
        <w:rPr/>
      </w:pPr>
      <w:bookmarkStart w:colFirst="0" w:colLast="0" w:name="_heading=h.qy1d03s9r2ss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ksijyumjco8p" w:id="22"/>
      <w:bookmarkEnd w:id="22"/>
      <w:r w:rsidDel="00000000" w:rsidR="00000000" w:rsidRPr="00000000">
        <w:rPr>
          <w:vertAlign w:val="baseline"/>
          <w:rtl w:val="0"/>
        </w:rPr>
        <w:t xml:space="preserve">Descripción de Actores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color w:val="365f91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tbl>
      <w:tblPr>
        <w:tblStyle w:val="Table3"/>
        <w:tblW w:w="88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4680"/>
        <w:gridCol w:w="2370"/>
        <w:tblGridChange w:id="0">
          <w:tblGrid>
            <w:gridCol w:w="1845"/>
            <w:gridCol w:w="4680"/>
            <w:gridCol w:w="237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B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Representa a cualquier persona que accede al sistema, incluyendo empleados y supervisores. Es el actor base con acceso a funcionalidades esenciales.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Características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Puede registrarse e iniciar sesión.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Relación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Engloba a todos los demás actores(Empleado, Supervisor)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after="280" w:before="28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80" w:before="28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[Empleado]</w:t>
      </w:r>
    </w:p>
    <w:tbl>
      <w:tblPr>
        <w:tblStyle w:val="Table4"/>
        <w:tblW w:w="88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4680"/>
        <w:gridCol w:w="2313"/>
        <w:tblGridChange w:id="0">
          <w:tblGrid>
            <w:gridCol w:w="1845"/>
            <w:gridCol w:w="4680"/>
            <w:gridCol w:w="2313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 al personal operativo que accede a la aplicación para realizar tareas relacionadas con la gestión de inventario y pedidos.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Tiene acceso restringido según su rol.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Puede registrar ingresos/salidas de productos.</w:t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Puede ver su historial de acciones.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tiene acceso a configuraciones generales ni a la gestión de empleados.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relaciona con los actores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  <w:t xml:space="preserve">, principalmente en flujos donde se gestionan procesos compartidos o supervisados.</w:t>
            </w:r>
          </w:p>
        </w:tc>
      </w:tr>
    </w:tbl>
    <w:p w:rsidR="00000000" w:rsidDel="00000000" w:rsidP="00000000" w:rsidRDefault="00000000" w:rsidRPr="00000000" w14:paraId="00000117">
      <w:pPr>
        <w:spacing w:after="280" w:before="28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[Supervisor]</w:t>
      </w:r>
    </w:p>
    <w:sdt>
      <w:sdtPr>
        <w:lock w:val="contentLocked"/>
        <w:tag w:val="goog_rdk_0"/>
      </w:sdtPr>
      <w:sdtContent>
        <w:tbl>
          <w:tblPr>
            <w:tblStyle w:val="Table5"/>
            <w:tblW w:w="8838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845"/>
            <w:gridCol w:w="4680"/>
            <w:gridCol w:w="2313"/>
            <w:tblGridChange w:id="0">
              <w:tblGrid>
                <w:gridCol w:w="1845"/>
                <w:gridCol w:w="4680"/>
                <w:gridCol w:w="2313"/>
              </w:tblGrid>
            </w:tblGridChange>
          </w:tblGrid>
          <w:tr>
            <w:trPr>
              <w:cantSplit w:val="0"/>
              <w:trHeight w:val="24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18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19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Supervisor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1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1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Representa al actor con permisos avanzados sobre los módulos del sistema. Supervisa y controla las operaciones realizadas por los empleados.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1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Características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1F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Tiene acceso total al dashboard y al historial general.</w:t>
                </w:r>
              </w:p>
              <w:p w:rsidR="00000000" w:rsidDel="00000000" w:rsidP="00000000" w:rsidRDefault="00000000" w:rsidRPr="00000000" w14:paraId="00000120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Puede gestionar empleados (añadir, editar, consultar).</w:t>
                </w:r>
              </w:p>
              <w:p w:rsidR="00000000" w:rsidDel="00000000" w:rsidP="00000000" w:rsidRDefault="00000000" w:rsidRPr="00000000" w14:paraId="00000121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Puede generar reportes y visualizar métricas.</w:t>
                </w:r>
              </w:p>
              <w:p w:rsidR="00000000" w:rsidDel="00000000" w:rsidP="00000000" w:rsidRDefault="00000000" w:rsidRPr="00000000" w14:paraId="0000012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Valida o revisa acciones realizadas por empleados.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Relación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25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 relaciona directamente con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Usuarios</w:t>
                </w:r>
                <w:r w:rsidDel="00000000" w:rsidR="00000000" w:rsidRPr="00000000">
                  <w:rPr>
                    <w:rtl w:val="0"/>
                  </w:rPr>
                  <w:t xml:space="preserve"> (como administrador del sistema) y con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Empleados</w:t>
                </w:r>
                <w:r w:rsidDel="00000000" w:rsidR="00000000" w:rsidRPr="00000000">
                  <w:rPr>
                    <w:rtl w:val="0"/>
                  </w:rPr>
                  <w:t xml:space="preserve"> (como encargado de supervisión y control).</w:t>
                </w:r>
              </w:p>
            </w:tc>
          </w:tr>
        </w:tbl>
      </w:sdtContent>
    </w:sdt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8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TDC">
    <w:name w:val="Título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3.png"/><Relationship Id="rId21" Type="http://schemas.openxmlformats.org/officeDocument/2006/relationships/image" Target="media/image18.png"/><Relationship Id="rId24" Type="http://schemas.openxmlformats.org/officeDocument/2006/relationships/image" Target="media/image16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6.png"/><Relationship Id="rId25" Type="http://schemas.openxmlformats.org/officeDocument/2006/relationships/image" Target="media/image11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17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20.png"/><Relationship Id="rId16" Type="http://schemas.openxmlformats.org/officeDocument/2006/relationships/image" Target="media/image12.png"/><Relationship Id="rId19" Type="http://schemas.openxmlformats.org/officeDocument/2006/relationships/image" Target="media/image7.png"/><Relationship Id="rId18" Type="http://schemas.openxmlformats.org/officeDocument/2006/relationships/image" Target="media/image1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5qfh14T7fTi64I8NhD8hI0kuHg==">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