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Closure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bookmarkStart w:id="21" w:name="my-species-name"/>
    <w:p>
      <w:pPr>
        <w:pStyle w:val="Heading2"/>
      </w:pPr>
      <w:r>
        <w:t xml:space="preserve">My species name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sp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Species name. Impacts of closure scenarios on the stock status by the end of a 10-year projection period. The TAC scenario did not implement any closure. PS-LS = FAD fishery. LS-FS = interaction between FAD and free school purse seine fisheries.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1821"/>
              <w:gridCol w:w="1188"/>
              <w:gridCol w:w="1188"/>
              <w:gridCol w:w="1188"/>
              <w:gridCol w:w="1188"/>
              <w:gridCol w:w="1188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Closed fleet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Closed season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No. months closed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Redistribution (%)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B/Bmsy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F/Fmsy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 fleets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1.689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 fleets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1.712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 fleets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1.920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 fleets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2.074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0.442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 fleets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4.249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1.355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1.355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0.756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1.398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0.726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1.374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0.740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0.720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1.519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0.640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1.480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0.668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1.381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1.414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Status quo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0.766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2.135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0.393</w:t>
                  </w:r>
                </w:p>
              </w:tc>
            </w:tr>
          </w:tbl>
          <w:bookmarkEnd w:id="20"/>
          <w:p/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Closure tables</dc:title>
  <dc:creator>Author name</dc:creator>
  <cp:keywords/>
  <dcterms:created xsi:type="dcterms:W3CDTF">2024-08-07T09:11:29Z</dcterms:created>
  <dcterms:modified xsi:type="dcterms:W3CDTF">2024-08-07T09:11:29Z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