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HikeFlora</w:t>
      </w:r>
    </w:p>
    <w:p>
      <w:r>
        <w:rPr>
          <w:color w:val="1D6147"/>
          <w:sz w:val="32"/>
        </w:rPr>
        <w:t>Classificação de cinco espécies de plantas em fotografias</w:t>
      </w:r>
    </w:p>
    <w:p>
      <w:r>
        <w:t>Relatório técnico — Meta I · Inteligência Computacional · 2026/27</w:t>
      </w:r>
    </w:p>
    <w:p/>
    <w:p>
      <w:r>
        <w:t>Rodrigo Cerdeira · 2023141202</w:t>
      </w:r>
    </w:p>
    <w:p>
      <w:r>
        <w:t>Giancarlo Peixoto · 2021135803</w:t>
      </w:r>
    </w:p>
    <w:p>
      <w:r>
        <w:t>Licenciatura em Engenharia Informática · Professor Carlos Pereira</w:t>
      </w:r>
    </w:p>
    <w:p>
      <w:r>
        <w:t>10 de outubro de 2026</w:t>
      </w:r>
    </w:p>
    <w:p/>
    <w:p>
      <w:pPr>
        <w:pStyle w:val="Heading2"/>
      </w:pPr>
      <w:r>
        <w:t>Resumo</w:t>
      </w:r>
    </w:p>
    <w:p>
      <w:r>
        <w:t>O HikeFlora estuda a identificação visual de cinco espécies de plantas relevantes para caminhadas. Foram selecionadas 11 000 fotografias do Pl@ntNet-300K-v2, com classes equilibradas e partições independentes de treino, validação e teste. Compararam-se uma MLP e várias CNN simples. A CNN com dropout foi escolhida pela menor perda de validação e alcançou 74,00% de accuracy e 74,25% de F1 macro em 1 100 imagens de teste. A classificação visual não determina se uma planta é segura para ingestão ou contacto.</w:t>
      </w:r>
    </w:p>
    <w:p>
      <w:r>
        <w:t>Palavras-chave: classificação de imagens; plantas; MLP; CNN; validação; matriz de confusão.</w:t>
      </w:r>
    </w:p>
    <w:p>
      <w:r>
        <w:br w:type="page"/>
      </w:r>
    </w:p>
    <w:p>
      <w:pPr>
        <w:pStyle w:val="Heading1"/>
      </w:pPr>
      <w:r>
        <w:t>1. Caso de estudo e objetivos</w:t>
      </w:r>
    </w:p>
    <w:p>
      <w:pPr>
        <w:pStyle w:val="Heading2"/>
      </w:pPr>
      <w:r>
        <w:t>1.1 Problema e âmbito</w:t>
      </w:r>
    </w:p>
    <w:p>
      <w:r>
        <w:t>Durante uma caminhada, uma pessoa pode ter dificuldade em reconhecer uma planta. O objetivo desta Meta I é prever, a partir de uma fotografia, qual das cinco espécies abrangidas é a mais provável: gerânio (Pelargonium zonale), alfazema (Lavandula angustifolia), papoila (Papaver rhoeas), trevo-branco (Trifolium repens) ou morangueiro silvestre (Fragaria vesca). A apresentação inicial do HikeFlora prevê, para fases posteriores, fichas documentadas sobre ingestão e contacto, alternativas e um resultado inconclusivo. Essas funcionalidades não foram implementadas nesta Meta I. Uma previsão não é uma recomendação de consumo [1, 2].</w:t>
      </w:r>
    </w:p>
    <w:p>
      <w:pPr>
        <w:pStyle w:val="Heading2"/>
      </w:pPr>
      <w:r>
        <w:t>1.2 Origem e caracterização dos dados</w:t>
      </w:r>
    </w:p>
    <w:p>
      <w:r>
        <w:t>A fonte é o Pl@ntNet-300K-v2, com 306 087 imagens de 1 000 espécies [3]. Este trabalho usa um subconjunto próprio de 11 000 fotografias. Foi mantida a separação original em treino, validação e teste. De cada classe foram escolhidas 2 200 imagens com semente 42: 1 760 para treino, 220 para validação e 220 para teste. Assim, cada classe representa 20% de cada partição.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ID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Espécie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Treino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Validação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Teste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Total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Gerânio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1 760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2 200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172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Alfazema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1 760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2 200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200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Papoila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1 760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2 200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225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Trevo-branco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1 760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2 200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237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Morangueiro silvestre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1 760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220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2 200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—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Total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8 800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1 100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1 100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11 000</w:t>
            </w:r>
          </w:p>
        </w:tc>
      </w:tr>
    </w:tbl>
    <w:p>
      <w:pPr>
        <w:spacing w:after="0"/>
      </w:pPr>
    </w:p>
    <w:p>
      <w:r>
        <w:t>A seleção incluiu as etiquetas de órgão flower, leaf, fruit e habit: 6 974 flores, 3 416 folhas, 505 frutos e 105 plantas inteiras. Excluíram-se bark, branch e other. O manifesto selecao_imagens.csv regista os caminhos, a classe, a partição, o órgão, o autor e a licença de cada fotografia. Os 11 000 identificadores de imagem são únicos e não há identificadores de observação repetidos entre partições. A verificação local confirmou os 11 000 ficheiros, sem ausências ou ficheiros ilegíveis. A leitura técnica não garante que todos os rótulos estejam corretos.</w:t>
      </w:r>
    </w:p>
    <w:p>
      <w:r>
        <w:t>As imagens originais têm dimensões variáveis. No carregamento, são redimensionadas para 128 × 128 píxeis RGB: 49 152 valores por imagem, divididos por 255 no modelo. Não houve uma etapa separada de extração manual de características. O subconjunto de cinco classes não é um benchmark publicado; resultados de sistemas treinados nas 1 000 classes de origem não são diretamente comparáveis. O estado de referência específico deste subconjunto é a comparação interna entre MLP e CNN aqui apresentada.</w:t>
      </w:r>
    </w:p>
    <w:p>
      <w:pPr>
        <w:pStyle w:val="Heading1"/>
      </w:pPr>
      <w:r>
        <w:t>2. Modelo e algoritmos</w:t>
      </w:r>
    </w:p>
    <w:p>
      <w:pPr>
        <w:pStyle w:val="Heading2"/>
      </w:pPr>
      <w:r>
        <w:t>2.1 Implementação e arquiteturas</w:t>
      </w:r>
    </w:p>
    <w:p>
      <w:r>
        <w:t>A implementação usa Python 3.12 e TensorFlow/Keras. As pastas dataset/train, dataset/val e dataset/test são lidas pela ordem fixa dos IDs 0008, 0172, 0200, 0225 e 0237. Apenas treino e validação entram na escolha da arquitetura. O teste de 1 100 imagens é usado depois dessa decisão. Os dois modelos iniciais usam batch de 32, 10 épocas, Adam com taxa de aprendizagem 0,001, perda sparse categorical crossentropy e semente 42.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Solução</w:t>
            </w:r>
          </w:p>
        </w:tc>
        <w:tc>
          <w:tcPr>
            <w:tcW w:type="dxa" w:w="3362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Camadas após entrada RGB 128×128</w:t>
            </w:r>
          </w:p>
        </w:tc>
        <w:tc>
          <w:tcPr>
            <w:tcW w:type="dxa" w:w="3362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Parâmetros</w:t>
            </w:r>
          </w:p>
        </w:tc>
      </w:tr>
      <w:tr>
        <w:tc>
          <w:tcPr>
            <w:tcW w:type="dxa" w:w="3362"/>
          </w:tcPr>
          <w:p>
            <w:pPr>
              <w:spacing w:after="20"/>
            </w:pPr>
            <w:r>
              <w:rPr>
                <w:sz w:val="16"/>
              </w:rPr>
              <w:t>MLP</w:t>
            </w:r>
          </w:p>
        </w:tc>
        <w:tc>
          <w:tcPr>
            <w:tcW w:type="dxa" w:w="3362"/>
          </w:tcPr>
          <w:p>
            <w:pPr>
              <w:spacing w:after="20"/>
            </w:pPr>
            <w:r>
              <w:rPr>
                <w:sz w:val="16"/>
              </w:rPr>
              <w:t>Rescaling; Flatten; Dense 64 (ReLU); Dense 5 (softmax)</w:t>
            </w:r>
          </w:p>
        </w:tc>
        <w:tc>
          <w:tcPr>
            <w:tcW w:type="dxa" w:w="3362"/>
          </w:tcPr>
          <w:p>
            <w:pPr>
              <w:spacing w:after="20"/>
            </w:pPr>
            <w:r>
              <w:rPr>
                <w:sz w:val="16"/>
              </w:rPr>
              <w:t>3 146 117</w:t>
            </w:r>
          </w:p>
        </w:tc>
      </w:tr>
      <w:tr>
        <w:tc>
          <w:tcPr>
            <w:tcW w:type="dxa" w:w="3362"/>
          </w:tcPr>
          <w:p>
            <w:pPr>
              <w:spacing w:after="20"/>
            </w:pPr>
            <w:r>
              <w:rPr>
                <w:sz w:val="16"/>
              </w:rPr>
              <w:t>CNN</w:t>
            </w:r>
          </w:p>
        </w:tc>
        <w:tc>
          <w:tcPr>
            <w:tcW w:type="dxa" w:w="3362"/>
          </w:tcPr>
          <w:p>
            <w:pPr>
              <w:spacing w:after="20"/>
            </w:pPr>
            <w:r>
              <w:rPr>
                <w:sz w:val="16"/>
              </w:rPr>
              <w:t>Rescaling; Conv 16 (3×3, ReLU); MaxPool 2×2; Conv 32 (3×3, ReLU); MaxPool 2×2; Flatten; Dense 64 (ReLU); Dense 5 (softmax)</w:t>
            </w:r>
          </w:p>
        </w:tc>
        <w:tc>
          <w:tcPr>
            <w:tcW w:type="dxa" w:w="3362"/>
          </w:tcPr>
          <w:p>
            <w:pPr>
              <w:spacing w:after="20"/>
            </w:pPr>
            <w:r>
              <w:rPr>
                <w:sz w:val="16"/>
              </w:rPr>
              <w:t>1 848 677</w:t>
            </w:r>
          </w:p>
        </w:tc>
      </w:tr>
    </w:tbl>
    <w:p>
      <w:pPr>
        <w:spacing w:after="0"/>
      </w:pPr>
    </w:p>
    <w:p>
      <w:r>
        <w:t>A MLP recebe todos os píxeis como um vetor. A CNN aprende padrões locais por convoluções e reduz as dimensões espaciais por pooling. A versão com dropout mantém a arquitetura da CNN e desativa aleatoriamente 50% das saídas da camada Dense 64 durante o treino; no teste, o dropout não altera as previsões. O número de parâmetros treináveis mantém-se em 1 848 677.</w:t>
      </w:r>
    </w:p>
    <w:p>
      <w:pPr>
        <w:pStyle w:val="Heading2"/>
      </w:pPr>
      <w:r>
        <w:t>2.2 Comparação controlada</w:t>
      </w:r>
    </w:p>
    <w:p>
      <w:r>
        <w:t>A CNN original apresentou aumento da perda de validação depois das primeiras épocas. Foram comparadas três variações com o mesmo conjunto de dados, batch, taxa de aprendizagem e semente. Todas permitem até 15 épocas e param após duas épocas sem melhoria de val_loss, recuperando os pesos da melhor época: (i) apenas paragem; (ii) paragem e dropout 0,5; (iii) paragem, dropout e aumento de dados com inversão horizontal e rotação até cerca de 18°. O aumento atua apenas no treino. A regra de seleção, definida antes da comparação, foi minimizar val_loss; o teste permaneceu separado.</w:t>
      </w:r>
    </w:p>
    <w:p>
      <w:pPr>
        <w:pStyle w:val="Heading1"/>
      </w:pPr>
      <w:r>
        <w:t>3. Resultados e discussão</w:t>
      </w:r>
    </w:p>
    <w:p>
      <w:pPr>
        <w:pStyle w:val="Heading2"/>
      </w:pPr>
      <w:r>
        <w:t>3.1 Validação e escolha do modelo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Configuração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Épocas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Época guardada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val_loss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val_accuracy</w:t>
            </w:r>
          </w:p>
        </w:tc>
      </w:tr>
      <w:tr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CNN + paragem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0,7782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70,82%</w:t>
            </w:r>
          </w:p>
        </w:tc>
      </w:tr>
      <w:tr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CNN + dropout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0,7386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72,18%</w:t>
            </w:r>
          </w:p>
        </w:tc>
      </w:tr>
      <w:tr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CNN + aumento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0,7748</w:t>
            </w:r>
          </w:p>
        </w:tc>
        <w:tc>
          <w:tcPr>
            <w:tcW w:type="dxa" w:w="2017"/>
          </w:tcPr>
          <w:p>
            <w:pPr>
              <w:spacing w:after="20"/>
            </w:pPr>
            <w:r>
              <w:rPr>
                <w:sz w:val="16"/>
              </w:rPr>
              <w:t>70,64%</w:t>
            </w:r>
          </w:p>
        </w:tc>
      </w:tr>
    </w:tbl>
    <w:p>
      <w:pPr>
        <w:spacing w:after="0"/>
      </w:pPr>
    </w:p>
    <w:p>
      <w:r>
        <w:t>A CNN com dropout teve a menor perda de validação. A sua maior accuracy de validação ocorreu na época 5 (72,64%), mas os pesos guardados pertencem à época 6, pois esta teve a menor perda. Na CNN original, a accuracy de treino chegou a 99,62% na época 10, enquanto a perda de validação subiu para 1,4487; isto sugere sobreajuste. A paragem e o dropout reduziram essa degradação. Nesta execução, o aumento de imagens não melhorou a validação.</w:t>
      </w:r>
    </w:p>
    <w:p>
      <w:r>
        <w:drawing>
          <wp:inline xmlns:a="http://schemas.openxmlformats.org/drawingml/2006/main" xmlns:pic="http://schemas.openxmlformats.org/drawingml/2006/picture">
            <wp:extent cx="5724000" cy="204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04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A58"/>
          <w:sz w:val="16"/>
        </w:rPr>
        <w:t>Figura 1 — Históricos de validação das CNN. A linha da CNN original prossegue até à época 10.</w:t>
      </w:r>
    </w:p>
    <w:p>
      <w:r>
        <w:br w:type="page"/>
      </w:r>
    </w:p>
    <w:p>
      <w:pPr>
        <w:pStyle w:val="Heading2"/>
      </w:pPr>
      <w:r>
        <w:t>3.2 Avaliação no teste independente</w:t>
      </w:r>
    </w:p>
    <w:p>
      <w:r>
        <w:t>Depois de escolher a CNN com dropout pela validação, avaliou-se essa CNN e a MLP original nas mesmas 1 100 imagens de teste, 220 por espécie. As métricas por classe usam a classe em análise contra as outras quatro; os valores macro são médias simples das cinco classes. Por serem equilibradas, a accuracy e o recall macro coincidem. A AUC mede a ordenação das probabilidades, e não a fração de previsões corretas.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Modelo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Accuracy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Recall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Especificidade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F1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b/>
                <w:color w:val="1D6147"/>
                <w:sz w:val="16"/>
              </w:rPr>
              <w:t>AUC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MLP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47,55%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47,55%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86,89%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45,28%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81,89%</w:t>
            </w:r>
          </w:p>
        </w:tc>
      </w:tr>
      <w:tr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CNN + dropout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74,00%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74,00%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93,50%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74,25%</w:t>
            </w:r>
          </w:p>
        </w:tc>
        <w:tc>
          <w:tcPr>
            <w:tcW w:type="dxa" w:w="1681"/>
          </w:tcPr>
          <w:p>
            <w:pPr>
              <w:spacing w:after="20"/>
            </w:pPr>
            <w:r>
              <w:rPr>
                <w:sz w:val="16"/>
              </w:rPr>
              <w:t>93,49%</w:t>
            </w:r>
          </w:p>
        </w:tc>
      </w:tr>
    </w:tbl>
    <w:p>
      <w:pPr>
        <w:spacing w:after="0"/>
      </w:pPr>
    </w:p>
    <w:p>
      <w:r>
        <w:t>A CNN acertou 814 imagens, contra 523 da MLP: mais 291 acertos e 26,45 pontos percentuais de accuracy. Os 74,00% no teste estão próximos dos 72,18% de validação na época escolhida, o que apoia a generalização dentro deste dataset. Esta proximidade não prova o mesmo desempenho em fotografias recolhidas por caminhantes noutros contextos.</w:t>
      </w:r>
    </w:p>
    <w:p>
      <w:r>
        <w:drawing>
          <wp:inline xmlns:a="http://schemas.openxmlformats.org/drawingml/2006/main" xmlns:pic="http://schemas.openxmlformats.org/drawingml/2006/picture">
            <wp:extent cx="5688000" cy="27205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es_confu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2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A58"/>
          <w:sz w:val="16"/>
        </w:rPr>
        <w:t>Figura 2 — Matrizes de confusão no teste (contagens). Ger.=gerânio; Alf.=alfazema; Pap.=papoila; Tre.=trevo-branco; Mor.=morangueiro.</w:t>
      </w:r>
    </w:p>
    <w:p>
      <w:pPr>
        <w:pStyle w:val="Heading2"/>
      </w:pPr>
      <w:r>
        <w:t>3.3 Erros e limitações</w:t>
      </w:r>
    </w:p>
    <w:p>
      <w:r>
        <w:t>A MLP previu trevo-branco para 562 imagens e reconheceu apenas 19 dos 220 morangueiros (recall de 8,64%); classificou 165 morangueiros como trevo-branco. A CNN reduziu essa tendência, mas classificou 61 trevos como morangueiro e 45 gerânios como morangueiro. Na CNN, a alfazema teve o maior recall (89,55%) e o trevo-branco o menor (62,27%). As matrizes mostram quais classes se confundem; sem inspeção visual individual, não é possível atribuir essas falhas a órgãos, fundos, iluminação ou eventuais rótulos incorretos.</w:t>
      </w:r>
    </w:p>
    <w:p>
      <w:r>
        <w:t>O problema é fechado: toda a fotografia recebe uma das cinco classes, mesmo que a espécie real esteja fora delas. Não existe ainda uma regra calibrada para resultado inconclusivo nem uma base de dados de riscos de ingestão ou contacto. As fotografias do Pl@ntNet podem diferir das imagens obtidas em caminhadas, e a verificação da amostra não substitui uma auditoria de todos os rótulos. Portanto, o modelo não deve ser usado para decidir se uma planta é comestível ou segura.</w:t>
      </w:r>
    </w:p>
    <w:p>
      <w:pPr>
        <w:pStyle w:val="Heading1"/>
      </w:pPr>
      <w:r>
        <w:t>4. Conclusões</w:t>
      </w:r>
    </w:p>
    <w:p>
      <w:r>
        <w:t>Neste subconjunto equilibrado, a CNN com dropout superou claramente a MLP em todas as métricas globais do teste. As convoluções aplicam filtros locais partilhados; a MLP recebe os píxeis achatados e não incorpora essa estrutura na arquitetura. A experiência não isola todas as causas da diferença. A escolha por validação antes do teste evitou usar o teste para ajustar o modelo. O HikeFlora dispõe assim de um classificador inicial para cinco espécies, mas ainda apresenta confusões relevantes e não identifica plantas fora dessas classes.</w:t>
      </w:r>
    </w:p>
    <w:p>
      <w:r>
        <w:t>Nas Metas II e III oficiais, recomenda-se analisar fotografias mal classificadas, comparar modelos mais robustos, estudar calibração e rejeição de espécies desconhecidas e só depois desenvolver as fichas informativas e o protótipo. A informação de risco deve vir de fontes documentadas, não da previsão visual isolada.</w:t>
      </w:r>
    </w:p>
    <w:p>
      <w:pPr>
        <w:pStyle w:val="Heading1"/>
      </w:pPr>
      <w:r>
        <w:t>Referências</w:t>
      </w:r>
    </w:p>
    <w:p>
      <w:r>
        <w:t>[1] Unidade curricular de Inteligência Computacional, «Projeto — Meta I», enunciado 2026/27, pp. 1–4.</w:t>
      </w:r>
    </w:p>
    <w:p>
      <w:r>
        <w:t>[2] Grupo HikeFlora, «Proposta de tema — HikeFlora», apresentação da Meta 0, 2026/27.</w:t>
      </w:r>
    </w:p>
    <w:p>
      <w:r>
        <w:t>[3] Pl@ntNet-300K-v2, Zenodo, registo 10419064, DOI: 10.5281/zenodo.10419064, https://zenodo.org/records/10419064 (consulta: 10/10/2026).</w:t>
      </w:r>
    </w:p>
    <w:p>
      <w:r>
        <w:t>[4] TensorFlow/Keras, documentação da API tf.keras, https://www.tensorflow.org/api_docs/python/tf/keras (consulta: 10/10/2026).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77" w:bottom="879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05A58"/>
        <w:sz w:val="16"/>
      </w:rPr>
      <w:t xml:space="preserve">HikeFlora · 2026/27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05A58"/>
        <w:sz w:val="15"/>
      </w:rPr>
      <w:t>HIKEFLORA  /  INTELIGÊNCIA COMPUTACIONAL  /  META 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D61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D614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Liberation Sans" w:hAnsi="Liberation Sans"/>
      <w:b/>
      <w:color w:val="1D61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