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HikeFlora</w:t>
      </w:r>
    </w:p>
    <w:p>
      <w:r>
        <w:rPr>
          <w:color w:val="2D4571"/>
          <w:sz w:val="30"/>
        </w:rPr>
        <w:t>Identificação de cinco espécies de plantas por classificação de imagens</w:t>
      </w:r>
    </w:p>
    <w:p>
      <w:r>
        <w:t>Projeto de Inteligência Computacional — Meta I · 2026/27</w:t>
      </w:r>
    </w:p>
    <w:p/>
    <w:p>
      <w:r>
        <w:t>Rodrigo Cerdeira · 2023141202</w:t>
      </w:r>
    </w:p>
    <w:p>
      <w:r>
        <w:t>Giancarlo Peixoto · 2021135803</w:t>
      </w:r>
    </w:p>
    <w:p>
      <w:r>
        <w:t>Licenciatura em Engenharia Informática · Docente: Carlos Pereira</w:t>
      </w:r>
    </w:p>
    <w:p>
      <w:r>
        <w:t>10 de outubro de 2026</w:t>
      </w:r>
    </w:p>
    <w:p/>
    <w:p>
      <w:pPr>
        <w:pStyle w:val="Heading2"/>
      </w:pPr>
      <w:r>
        <w:t>Resumo</w:t>
      </w:r>
    </w:p>
    <w:p>
      <w:r>
        <w:t>O HikeFlora estuda a identificação visual de cinco espécies de plantas a partir de uma fotografia. Foram selecionadas 11 000 imagens do Pl@ntNet-300K-v2, equilibradas entre as espécies e separadas em treino, validação e teste. Treinou-se uma MLP e uma CNN, seguida de três variações da CNN para reduzir o sobreajuste. A escolha pela menor perda de validação conduziu à CNN com dropout, que obteve 74,00% de accuracy e 74,25% de F1 macro em 1 100 imagens de teste independente. A classificação abrange apenas cinco espécies e não avalia a segurança de ingestão ou contacto.</w:t>
      </w:r>
    </w:p>
    <w:p>
      <w:r>
        <w:t>Palavras-chave: plantas; classificação de imagens; MLP; CNN; validação; teste independente.</w:t>
      </w:r>
    </w:p>
    <w:p>
      <w:r>
        <w:br w:type="page"/>
      </w:r>
    </w:p>
    <w:p>
      <w:pPr>
        <w:pStyle w:val="Heading1"/>
      </w:pPr>
      <w:r>
        <w:t>1. Caso de estudo e objetivos</w:t>
      </w:r>
    </w:p>
    <w:p>
      <w:pPr>
        <w:pStyle w:val="Heading2"/>
      </w:pPr>
      <w:r>
        <w:t>1.1. Problema e âmbito</w:t>
      </w:r>
    </w:p>
    <w:p>
      <w:r>
        <w:t>Uma pessoa em caminhada pode querer identificar uma planta que fotografou. Nesta Meta I, o objetivo é prever a espécie mais provável entre cinco classes: gerânio, alfazema, papoila, trevo-branco e morangueiro silvestre. A saída do modelo é uma das cinco classes, não uma identificação aberta de toda a flora. O projeto da aplicação prevê, para fases posteriores, um resultado inconclusivo e fichas documentadas sobre ingestão e contacto [1, 2]. Estas funcionalidades ainda não fazem parte do classificador; uma previsão visual não indica que uma planta seja segura.</w:t>
      </w:r>
    </w:p>
    <w:p>
      <w:pPr>
        <w:pStyle w:val="Heading2"/>
      </w:pPr>
      <w:r>
        <w:t>1.2. Origem e composição dos dados</w:t>
      </w:r>
    </w:p>
    <w:p>
      <w:r>
        <w:t>O Pl@ntNet-300K-v2 reúne 306 087 imagens de 1 000 espécies e fornece partições oficiais de treino, validação e teste [3]. O conjunto completo é um benchmark caracterizado por desequilíbrio entre espécies e semelhança visual entre algumas plantas [3, 4]. O nosso subconjunto equilibrado de cinco espécies constitui outra tarefa; não identificámos um resultado publicado diretamente comparável para esta seleção. Por isso, usamos a MLP e a CNN como referências internas, sem apresentar os resultados das 1 000 classes como desempenho esperado do HikeFlora.</w:t>
      </w:r>
    </w:p>
    <w:p>
      <w:r>
        <w:t>Tabela 1 — Espécies escolhidas. As famílias constam de species_metadata.csv; cada linha tem 2 200 imagens selecionadas.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39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ID</w:t>
            </w:r>
          </w:p>
        </w:tc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Nome comum</w:t>
            </w:r>
          </w:p>
        </w:tc>
        <w:tc>
          <w:tcPr>
            <w:tcW w:type="dxa" w:w="204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Nome científico</w:t>
            </w:r>
          </w:p>
        </w:tc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Família</w:t>
            </w:r>
          </w:p>
        </w:tc>
        <w:tc>
          <w:tcPr>
            <w:tcW w:type="dxa" w:w="680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Treino</w:t>
            </w:r>
          </w:p>
        </w:tc>
        <w:tc>
          <w:tcPr>
            <w:tcW w:type="dxa" w:w="56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Val.</w:t>
            </w:r>
          </w:p>
        </w:tc>
        <w:tc>
          <w:tcPr>
            <w:tcW w:type="dxa" w:w="56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5"/>
              </w:rPr>
              <w:t>Teste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Gerânio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Pelargonium zonale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Geraniaceae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1 760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172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Alfazema</w:t>
            </w:r>
          </w:p>
        </w:tc>
        <w:tc>
          <w:tcPr>
            <w:tcW w:type="dxa" w:w="204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Lavandula angustifolia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Lamiaceae</w:t>
            </w:r>
          </w:p>
        </w:tc>
        <w:tc>
          <w:tcPr>
            <w:tcW w:type="dxa" w:w="680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1 760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Papoila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Papaver rhoeas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Papaveraceae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1 760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225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Trevo-branco</w:t>
            </w:r>
          </w:p>
        </w:tc>
        <w:tc>
          <w:tcPr>
            <w:tcW w:type="dxa" w:w="204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Trifolium repens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Fabaceae</w:t>
            </w:r>
          </w:p>
        </w:tc>
        <w:tc>
          <w:tcPr>
            <w:tcW w:type="dxa" w:w="680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1 760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237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Morangueiro silvestre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Fragaria vesca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Rosaceae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1 760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220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—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Total</w:t>
            </w:r>
          </w:p>
        </w:tc>
        <w:tc>
          <w:tcPr>
            <w:tcW w:type="dxa" w:w="204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5 espécies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</w:r>
          </w:p>
        </w:tc>
        <w:tc>
          <w:tcPr>
            <w:tcW w:type="dxa" w:w="680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8 800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1 100</w:t>
            </w:r>
          </w:p>
        </w:tc>
        <w:tc>
          <w:tcPr>
            <w:tcW w:type="dxa" w:w="56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5"/>
              </w:rPr>
              <w:t>1 100</w:t>
            </w:r>
          </w:p>
        </w:tc>
      </w:tr>
    </w:tbl>
    <w:p>
      <w:pPr>
        <w:spacing w:after="0"/>
      </w:pPr>
    </w:p>
    <w:p>
      <w:r>
        <w:t>O morangueiro cultivado (ID 641) foi substituído pelo morangueiro silvestre (ID 237), pois o primeiro tinha apenas 343 imagens no conjunto original. O manifesto selecao_imagens.csv identifica exatamente as 11 000 fotografias selecionadas com semente 42: 2 200 por classe e uma divisão de 80%/10%/10%. Foram preservadas as partições oficiais; não se repetem identificadores de imagem nem de observação entre os três conjuntos.</w:t>
      </w:r>
    </w:p>
    <w:p>
      <w:r>
        <w:rPr>
          <w:b/>
          <w:highlight w:val="yellow"/>
        </w:rPr>
        <w:t xml:space="preserve">REVER — </w:t>
      </w:r>
      <w:r>
        <w:t>Os metadados oficiais disponibilizam 20 770 fotografias para as cinco espécies escolhidas: 3 318 de gerânio, 3 423 de alfazema, 5 008 de papoila, 4 193 de trevo-branco e 4 828 de morangueiro silvestre. A seleção de 2 200 por espécie equilibra classes inicialmente desiguais. Confirmar se estes totais de origem devem constar da versão final.</w:t>
      </w:r>
    </w:p>
    <w:p>
      <w:r>
        <w:t>A seleção inclui 6 974 fotografias etiquetadas como flor, 3 416 como folha, 505 como fruto e 105 como planta inteira; exclui as etiquetas casca, ramo e outro. O manifesto regista ainda autor e licença. A verificação local encontrou os 11 000 ficheiros e nenhum ilegível. Esta verificação técnica não prova que todos os rótulos botânicos estejam corretos.</w:t>
      </w:r>
    </w:p>
    <w:p>
      <w:r>
        <w:br w:type="page"/>
      </w:r>
    </w:p>
    <w:p>
      <w:pPr>
        <w:pStyle w:val="Heading1"/>
      </w:pPr>
      <w:r>
        <w:t>2. Modelo e algoritmos</w:t>
      </w:r>
    </w:p>
    <w:p>
      <w:pPr>
        <w:pStyle w:val="Heading2"/>
      </w:pPr>
      <w:r>
        <w:t>2.1. Preparação e configuração comum</w:t>
      </w:r>
    </w:p>
    <w:p>
      <w:r>
        <w:t>Os scripts usam Python 3.12 e TensorFlow/Keras. As imagens são lidas de dataset/train, dataset/val e dataset/test, com a ordem fixa dos IDs 0008, 0172, 0200, 0225 e 0237. No carregamento, cada fotografia é redimensionada para RGB 128 × 128, isto é, 49 152 valores. A camada Rescaling divide os píxeis por 255. O treino é baralhado com semente 42; validação e teste mantêm ordem fixa. Não houve extração manual de características. A MLP e a CNN iniciais usam as mesmas imagens, batch de 32, Adam com taxa 0,001, perda sparse categorical crossentropy e 10 épocas.</w:t>
      </w:r>
    </w:p>
    <w:p>
      <w:pPr>
        <w:pStyle w:val="Heading2"/>
      </w:pPr>
      <w:r>
        <w:t>2.2. Modelo alternativo: MLP</w:t>
      </w:r>
    </w:p>
    <w:p>
      <w:r>
        <w:t>A MLP transforma a imagem num vetor antes de a classificar. A Tabela 2 segue as camadas efetivamente definidas em treinar.py; os parâmetros foram conferidos pela dimensão de entrada e pelo número de neurónios.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Camada</w:t>
            </w:r>
          </w:p>
        </w:tc>
        <w:tc>
          <w:tcPr>
            <w:tcW w:type="dxa" w:w="306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Configuração</w:t>
            </w:r>
          </w:p>
        </w:tc>
        <w:tc>
          <w:tcPr>
            <w:tcW w:type="dxa" w:w="170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Saída</w:t>
            </w:r>
          </w:p>
        </w:tc>
        <w:tc>
          <w:tcPr>
            <w:tcW w:type="dxa" w:w="1304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Parâmetros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RGB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128 × 128 × 3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Rescaling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píxeis / 255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128 × 128 × 3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Flatten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achatamento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49 152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Dense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64 neurónios; ReLU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3 145 792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Dense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 neurónios; softmax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325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Total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3 146 117</w:t>
            </w:r>
          </w:p>
        </w:tc>
      </w:tr>
    </w:tbl>
    <w:p>
      <w:pPr>
        <w:spacing w:after="0"/>
      </w:pPr>
    </w:p>
    <w:p>
      <w:r>
        <w:t>A maioria dos parâmetros está na ligação entre os 49 152 valores e os 64 neurónios. A MLP aprende com os píxeis, mas a arquitetura não explora diretamente a proximidade espacial entre eles.</w:t>
      </w:r>
    </w:p>
    <w:p>
      <w:pPr>
        <w:pStyle w:val="Heading2"/>
      </w:pPr>
      <w:r>
        <w:t>2.3. Modelo escolhido: CNN com dropout</w:t>
      </w:r>
    </w:p>
    <w:p>
      <w:r>
        <w:t>A CNN aplica filtros locais e reduz progressivamente as dimensões espaciais. A primeira versão, em treinar.py, não tem dropout. Após comparar as variações, foi escolhida a versão de treinar_variacoes.py descrita na Tabela 3: conserva as mesmas convoluções e acrescenta dropout de 0,5 antes da saída.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Camada</w:t>
            </w:r>
          </w:p>
        </w:tc>
        <w:tc>
          <w:tcPr>
            <w:tcW w:type="dxa" w:w="306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Configuração</w:t>
            </w:r>
          </w:p>
        </w:tc>
        <w:tc>
          <w:tcPr>
            <w:tcW w:type="dxa" w:w="170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Saída</w:t>
            </w:r>
          </w:p>
        </w:tc>
        <w:tc>
          <w:tcPr>
            <w:tcW w:type="dxa" w:w="1304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Parâmetros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RGB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128 × 128 × 3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Rescaling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píxeis / 255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128 × 128 × 3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Conv2D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16 filtros 3 × 3; ReLU; valid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126 × 126 × 16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448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MaxPooling2D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2 × 2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63 × 63 × 16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Conv2D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32 filtros 3 × 3; ReLU; valid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61 × 61 × 32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4 640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MaxPooling2D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2 × 2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30 × 30 × 32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Flatten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achatamento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28 800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Dense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64 neurónios; ReLU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1 843 264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Dropout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taxa 0,5 no treino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64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Dense</w:t>
            </w:r>
          </w:p>
        </w:tc>
        <w:tc>
          <w:tcPr>
            <w:tcW w:type="dxa" w:w="306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5 neurónios; softmax</w:t>
            </w:r>
          </w:p>
        </w:tc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325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Total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1 848 677</w:t>
            </w:r>
          </w:p>
        </w:tc>
      </w:tr>
    </w:tbl>
    <w:p>
      <w:pPr>
        <w:spacing w:after="0"/>
      </w:pPr>
    </w:p>
    <w:p>
      <w:r>
        <w:t>A camada Dropout desativa aleatoriamente parte das ativações durante o treino e não acrescenta parâmetros. No teste, a rede utiliza todas as ativações. Esta CNN ainda concentra a maioria dos parâmetros na camada Dense depois de Flatten; a experiência de validação mostra se o dropout ajuda a controlar o sobreajuste.</w:t>
      </w:r>
    </w:p>
    <w:p>
      <w:pPr>
        <w:pStyle w:val="Heading2"/>
      </w:pPr>
      <w:r>
        <w:t>2.4. Experiências e escolha do modelo</w:t>
      </w:r>
    </w:p>
    <w:p>
      <w:r>
        <w:t>As duas arquiteturas iniciais foram treinadas durante 10 épocas. Como a CNN inicial apresentou aumento da perda de validação, treinámos três variações da mesma arquitetura: paragem antecipada; paragem com dropout 0,5; e paragem com dropout 0,5 mais inversão horizontal e rotação até cerca de 18° aplicada apenas no treino. Estas variações permitem até 15 épocas, param após duas épocas sem melhoria de val_loss e recuperam os pesos da melhor época. O critério de escolha foi a menor val_loss; as imagens de teste não participaram na escolha.</w:t>
      </w:r>
    </w:p>
    <w:p>
      <w:pPr>
        <w:pStyle w:val="Heading1"/>
      </w:pPr>
      <w:r>
        <w:t>3. Resultados e discussão</w:t>
      </w:r>
    </w:p>
    <w:p>
      <w:pPr>
        <w:pStyle w:val="Heading2"/>
      </w:pPr>
      <w:r>
        <w:t>3.1. Validação</w:t>
      </w:r>
    </w:p>
    <w:p>
      <w:r>
        <w:t>Tabela 4 — Comparação das variações da CNN. Os valores de validação pertencem à época cujos pesos foram guardados.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28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Configuração</w:t>
            </w:r>
          </w:p>
        </w:tc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Épocas executadas</w:t>
            </w:r>
          </w:p>
        </w:tc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Época guardada</w:t>
            </w:r>
          </w:p>
        </w:tc>
        <w:tc>
          <w:tcPr>
            <w:tcW w:type="dxa" w:w="124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val_loss</w:t>
            </w:r>
          </w:p>
        </w:tc>
        <w:tc>
          <w:tcPr>
            <w:tcW w:type="dxa" w:w="1304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val_accuracy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CNN + paragem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0,7782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70,82%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CNN + dropout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8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6</w:t>
            </w:r>
          </w:p>
        </w:tc>
        <w:tc>
          <w:tcPr>
            <w:tcW w:type="dxa" w:w="124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0,7386</w:t>
            </w:r>
          </w:p>
        </w:tc>
        <w:tc>
          <w:tcPr>
            <w:tcW w:type="dxa" w:w="130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72,18%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CNN + aumento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0,7748</w:t>
            </w:r>
          </w:p>
        </w:tc>
        <w:tc>
          <w:tcPr>
            <w:tcW w:type="dxa" w:w="130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70,64%</w:t>
            </w:r>
          </w:p>
        </w:tc>
      </w:tr>
    </w:tbl>
    <w:p>
      <w:pPr>
        <w:spacing w:after="0"/>
      </w:pPr>
    </w:p>
    <w:p>
      <w:r>
        <w:t>A CNN com dropout apresentou a menor val_loss. A sua maior val_accuracy foi 72,64% na época 5, mas os pesos guardados são os da época 6, selecionada pela perda. Na CNN inicial, a accuracy de treino atingiu 99,62% na época 10 enquanto a perda de validação subiu para 1,4487, sinal de sobreajuste. O aumento de dados testado não melhorou a validação nesta execução.</w:t>
      </w:r>
    </w:p>
    <w:p>
      <w:r>
        <w:rPr>
          <w:b/>
          <w:highlight w:val="yellow"/>
        </w:rPr>
        <w:t xml:space="preserve">REVER — </w:t>
      </w:r>
      <w:r>
        <w:t>Na CNN inicial, a accuracy de validação atingiu 72,09% na época 4 e terminou em 70,55% na época 10, enquanto a accuracy de treino chegou a 99,62%. Estes valores do histórico tornam mais visível a diferença entre treino e validação.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00000" cy="1927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45E"/>
          <w:sz w:val="16"/>
        </w:rPr>
        <w:t>Figura 1 — Evolução da perda e accuracy de validação nas CNN; a original prosseguiu até à época 10.</w:t>
      </w:r>
    </w:p>
    <w:p>
      <w:pPr>
        <w:pStyle w:val="Heading2"/>
      </w:pPr>
      <w:r>
        <w:t>3.2. Teste independente</w:t>
      </w:r>
    </w:p>
    <w:p>
      <w:r>
        <w:t>Depois da escolha por validação, a MLP inicial e a CNN com dropout foram avaliadas nas mesmas 1 100 imagens de teste, 220 por espécie. Recall, especificidade, F1 e AUC foram calculados para cada classe contra as restantes e resumidos por média macro. A AUC mede a ordenação das probabilidades; não equivale à percentagem de acertos. Como o teste é equilibrado, accuracy e recall macro coincidem.</w:t>
      </w:r>
    </w:p>
    <w:p>
      <w:r>
        <w:t>Tabela 5 — Métricas globais no teste independente; fonte: resultados/avaliacao_teste.txt.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</w:trPr>
        <w:tc>
          <w:tcPr>
            <w:tcW w:type="dxa" w:w="1701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Modelo</w:t>
            </w:r>
          </w:p>
        </w:tc>
        <w:tc>
          <w:tcPr>
            <w:tcW w:type="dxa" w:w="1134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Accuracy</w:t>
            </w:r>
          </w:p>
        </w:tc>
        <w:tc>
          <w:tcPr>
            <w:tcW w:type="dxa" w:w="1134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Recall</w:t>
            </w:r>
          </w:p>
        </w:tc>
        <w:tc>
          <w:tcPr>
            <w:tcW w:type="dxa" w:w="1417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Especificidade</w:t>
            </w:r>
          </w:p>
        </w:tc>
        <w:tc>
          <w:tcPr>
            <w:tcW w:type="dxa" w:w="1020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F1</w:t>
            </w:r>
          </w:p>
        </w:tc>
        <w:tc>
          <w:tcPr>
            <w:tcW w:type="dxa" w:w="1020"/>
            <w:vAlign w:val="center"/>
            <w:shd w:fill="DCE5F2"/>
          </w:tcPr>
          <w:p>
            <w:pPr>
              <w:spacing w:after="20" w:before="20"/>
            </w:pPr>
            <w:r>
              <w:rPr>
                <w:b/>
                <w:color w:val="2D4571"/>
                <w:sz w:val="16"/>
              </w:rPr>
              <w:t>AUC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MLP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47,55%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47,55%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86,89%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45,28%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81,89%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CNN + dropout</w:t>
            </w:r>
          </w:p>
        </w:tc>
        <w:tc>
          <w:tcPr>
            <w:tcW w:type="dxa" w:w="113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74,00%</w:t>
            </w:r>
          </w:p>
        </w:tc>
        <w:tc>
          <w:tcPr>
            <w:tcW w:type="dxa" w:w="1134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74,00%</w:t>
            </w:r>
          </w:p>
        </w:tc>
        <w:tc>
          <w:tcPr>
            <w:tcW w:type="dxa" w:w="1417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93,50%</w:t>
            </w:r>
          </w:p>
        </w:tc>
        <w:tc>
          <w:tcPr>
            <w:tcW w:type="dxa" w:w="1020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74,25%</w:t>
            </w:r>
          </w:p>
        </w:tc>
        <w:tc>
          <w:tcPr>
            <w:tcW w:type="dxa" w:w="1020"/>
            <w:vAlign w:val="center"/>
            <w:shd w:fill="F2F5F9"/>
          </w:tcPr>
          <w:p>
            <w:pPr>
              <w:spacing w:after="20" w:before="20"/>
            </w:pPr>
            <w:r>
              <w:rPr>
                <w:sz w:val="16"/>
              </w:rPr>
              <w:t>93,49%</w:t>
            </w:r>
          </w:p>
        </w:tc>
      </w:tr>
    </w:tbl>
    <w:p>
      <w:pPr>
        <w:spacing w:after="0"/>
      </w:pPr>
    </w:p>
    <w:p>
      <w:r>
        <w:t>A CNN acertou 814 imagens e a MLP 523: mais 291 acertos, ou 26,45 pontos percentuais de accuracy. A accuracy de teste da CNN (74,00%) é próxima da accuracy de validação da época escolhida (72,18%), o que apoia a generalização neste subconjunto. Isto não demonstra igual desempenho em fotografias futuras tiradas durante caminhadas.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652000" cy="2703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es_confu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0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D545E"/>
          <w:sz w:val="16"/>
        </w:rPr>
        <w:t>Figura 2 — Matrizes de confusão no teste. Linhas: classe real; colunas: classe prevista.</w:t>
      </w:r>
    </w:p>
    <w:p>
      <w:pPr>
        <w:pStyle w:val="Heading2"/>
      </w:pPr>
      <w:r>
        <w:t>3.3. Interpretação dos erros e limites</w:t>
      </w:r>
    </w:p>
    <w:p>
      <w:r>
        <w:t>A MLP previu trevo-branco para 562 fotografias; acertou apenas 19 dos 220 morangueiros e confundiu 165 morangueiros com trevo-branco. A CNN reduziu este padrão, mas confundiu 61 trevos com morangueiro e 45 gerânios com morangueiro. Na CNN, a alfazema teve o maior recall (89,55%) e o trevo-branco o menor (62,27%). A matriz indica onde ocorrem os erros, mas não permite atribuí-los com segurança a folhas, flores, fundo ou rótulos sem examinar individualmente essas imagens.</w:t>
      </w:r>
    </w:p>
    <w:p>
      <w:r>
        <w:t>O modelo tem saída fechada: uma espécie fora das cinco classes receberá mesmo assim um dos cinco nomes. O dataset provém de observações do Pl@ntNet e pode diferir das imagens de utilizadores do HikeFlora. Também não há regra calibrada para resposta inconclusiva nem informação validada sobre riscos de ingestão ou contacto. Estas limitações impedem usar o classificador como conselho de segurança.</w:t>
      </w:r>
    </w:p>
    <w:p>
      <w:r>
        <w:rPr>
          <w:b/>
          <w:highlight w:val="yellow"/>
        </w:rPr>
        <w:t xml:space="preserve">REVER — </w:t>
      </w:r>
      <w:r>
        <w:t>As notas de inspeção visual mencionam imagens em ambiente natural, plantas em vasos e exemplares arrancados. Confirmar quantas imagens foram revistas e se estes casos devem ilustrar a diferença entre o dataset e as fotografias esperadas de caminhantes.</w:t>
      </w:r>
    </w:p>
    <w:p>
      <w:r>
        <w:br w:type="page"/>
      </w:r>
    </w:p>
    <w:p>
      <w:pPr>
        <w:pStyle w:val="Heading1"/>
      </w:pPr>
      <w:r>
        <w:t>4. Conclusões</w:t>
      </w:r>
    </w:p>
    <w:p>
      <w:r>
        <w:t>No subconjunto equilibrado de cinco espécies, a CNN com dropout superou a MLP nas métricas globais do teste independente. As convoluções captam padrões locais; a MLP recebe um vetor de píxeis sem essa estrutura na arquitetura. A diferença observada não isola todas as causas de desempenho, mas mostra a vantagem da solução CNN testada neste problema. A escolha foi feita pela validação antes do teste, e os 74,00% de accuracy não eliminam confusões relevantes entre espécies.</w:t>
      </w:r>
    </w:p>
    <w:p>
      <w:r>
        <w:t>Para as próximas metas, interessa inspecionar os erros por imagem, estudar alternativas de arquitetura e definir uma resposta para espécies desconhecidas. A aplicação só deverá apresentar fichas sobre ingestão e contacto com fontes próprias e verificadas, separadas da previsão visual.</w:t>
      </w:r>
    </w:p>
    <w:p>
      <w:pPr>
        <w:pStyle w:val="Heading1"/>
      </w:pPr>
      <w:r>
        <w:t>Referências</w:t>
      </w:r>
    </w:p>
    <w:p>
      <w:r>
        <w:t>[1] Unidade curricular de Inteligência Computacional, «Projeto — Meta I», enunciado 2026/27, pp. 1–4.</w:t>
      </w:r>
    </w:p>
    <w:p>
      <w:r>
        <w:t>[2] Grupo HikeFlora, «Proposta de tema — HikeFlora», apresentação da Meta 0, 2026/27.</w:t>
      </w:r>
    </w:p>
    <w:p>
      <w:r>
        <w:t>[3] Pl@ntNet-300K-v2, Zenodo, registo 10419064, DOI: 10.5281/zenodo.10419064, https://zenodo.org/records/10419064 (consulta: 10/10/2026).</w:t>
      </w:r>
    </w:p>
    <w:p>
      <w:r>
        <w:t>[4] C. Garcin et al., «Pl@ntNet-300K: a plant image dataset with high label ambiguity and a long-tailed distribution», NeurIPS Datasets and Benchmarks, 2021, https://datasets-benchmarks-proceedings.neurips.cc/paper/2021/file/7e7757b1e12abcb736ab9a754ffb617a-Paper-round2.pdf.</w:t>
      </w:r>
    </w:p>
    <w:p>
      <w:r>
        <w:t>[5] TensorFlow/Keras, documentação da API tf.keras, https://www.tensorflow.org/api_docs/python/tf/keras (consulta: 10/10/2026).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45E"/>
        <w:sz w:val="16"/>
      </w:rPr>
      <w:t xml:space="preserve">HikeFlora · 2026/27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D545E"/>
        <w:sz w:val="15"/>
      </w:rPr>
      <w:t>HIKEFLORA  /  INTELIGÊNCIA COMPUTACIONAL  /  META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D45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D457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2D457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