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Ingeniería Informática —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56"/>
          <w:szCs w:val="56"/>
          <w:rtl w:val="0"/>
        </w:rPr>
        <w:t xml:space="preserve">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6"/>
          <w:szCs w:val="26"/>
          <w:rtl w:val="0"/>
        </w:rPr>
        <w:t xml:space="preserve">(Diagrama de Clases y Diagramas de Secuencia)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Proyecto LinkCare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Andrés Saldívar  •  Giancarlo Trepiana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Profesor guía: Aldo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Este documento presenta los diagramas UML de LinkCare: un diagrama de casos de uso, un diagrama de componentes, un diagrama de clases que modela el dominio del sistema a partir del esquema real de la base de datos, y dos diagramas de secuencia que ilustran los flujos más representativos entre la aplicación móvil, la API y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1"/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2.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El diagrama muestra los actores del sistema y los 17 casos de uso especificados en LinkCare_Casos_de_Uso.docx. El actor abstracto Usuario agrupa las funciones comunes a médico, cuidador y familiar; cada rol específico se conecta además con los casos de uso que le son propios.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114800" cy="5851928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51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Color según estado: amarillo = Parcial, azul = En desarrollo, naranja = Pendiente, gris = Propuesto / Pendiente de validar.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0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Notas del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Médico, Cuidador y Familiar heredan del actor abstracto Usuario (flecha de generalización), por lo que el Familiar solo participa en los casos de uso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CU-12 (variables de salud) involucra a Médico y Cuidador; los permisos exactos por rol siguen por confirmar (ver 03_Actores_y_Permisos del 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CU-10 y CU-16 figuran como "Propuesto / Pendiente de validar": se muestran en el diagrama, pero no están confirmados como parte del alcance final. En particular, CU-16 no debe interpretarse como confirmación de que las notificaciones push estén operativas.</w:t>
      </w:r>
    </w:p>
    <w:p w:rsidR="00000000" w:rsidDel="00000000" w:rsidP="00000000" w:rsidRDefault="00000000" w:rsidRPr="00000000" w14:paraId="00000023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3. 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El diagrama de clases modela el dominio de LinkCare a partir del esquema real de la base de datos (ver LinkCare_DER.docx), incorporando el comportamiento (métodos) asociado a cada entidad. La sección 3.1 añade una vista complementaria de las tablas de notificaciones incorporadas al esquema.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725163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Notas del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PacienteUsuario se modela como clase de asociación entre Usuario y Paciente, reflejando la clave primaria compuesta (paciente_id, usuario_id, relacion)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relación "aprueba" entre Usuario y Medicamento se dibuja punteada y con multiplicidad 0..1, ya que corresponde al campo aprobado_por (opcional) y representa la firma del médico sobre la prescripción (RF-029).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métodos listados son los relevantes para los requisitos funcionales actualmente "En desarrollo" o "Pendiente"; no pretenden ser una lista exhaustiva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3.1. Extensión del modelo: notificaciones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El esquema incorpora tres tablas para dispositivos de notificación, preferencias del usuario y registro de eventos notificados. Las relaciones representadas corresponden únicamente a las claves foráneas declaradas en el esquema: push_devices.user_id y notification_preferences.user_id apuntan a usuarios.id. La tabla notification_dispatches no declara una clave foránea, por lo que no se representa una relación directa con otra entidad.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618234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4. 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vista refleja el código entregado: la aplicación consume Supabase directamente mediante Auth, PostgREST y RPC. No existe componente de API Node.js propio.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86400" cy="36576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2e75b6" w:space="4" w:sz="6" w:val="single"/>
        </w:pBdr>
        <w:spacing w:after="160" w:before="280" w:lineRule="auto"/>
        <w:rPr>
          <w:b w:val="1"/>
          <w:bCs w:val="1"/>
          <w:color w:val="1f4e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5. Diagramas de Secuencia: Inicio de </w:t>
      </w: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flujo usa Supabase Auth y luego consulta el rol en la tabla usuarios. El código revisado redirige a /dashboard; el enrutamiento diferenciado por rol requiere validación funcional.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86400" cy="285072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98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Registrar administración de medicamento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pantalla llama la función RPC register_medication_administration. La función SQL revisada exige usuario autenticado, rol cuidador activo, asociación con el paciente y estado actual pendiente; crea un registro de administración y actualiza el medicamento.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86400" cy="261089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6235" l="0" r="0" t="32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6. Próximos 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Se recomienda incorporar, en versiones posteriores de este documento, los diagramas de secuencia de los siguientes flujos, conforme avancen de estado en la Matriz de 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Prescribir y aprobar medicamento (RF-013, RF-029).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paciente y asociar usuarios (RF-008, RF-010).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observación clínica o de cuidado (RF-017, RF-018).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Escanear y validar código QR (RF-023, RF-024), una vez confirmado el permiso del cuidador.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w3noqiDJQg8hnwnzT6LTJK9Xw==">CgMxLjA4AHIhMWlFNzVydWlHM3JiVWVnZVBid0txb25uUHFjX21vR1VI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