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30"/>
      </w:pPr>
    </w:p>
    <w:p>
      <w:pPr>
        <w:spacing w:after="30" w:before="30"/>
      </w:pPr>
    </w:p>
    <w:p>
      <w:pPr>
        <w:spacing w:after="30" w:before="30"/>
      </w:pPr>
    </w:p>
    <w:p>
      <w:pPr>
        <w:spacing w:after="30" w:before="3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NORTHERN COALFIELDS LIMITED</w:t>
      </w:r>
    </w:p>
    <w:p>
      <w:pPr>
        <w:jc w:val="center"/>
      </w:pPr>
      <w:r>
        <w:rPr>
          <w:rFonts w:ascii="Arial" w:cs="Arial" w:eastAsia="Arial" w:hAnsi="Arial"/>
          <w:color w:val="2E5FA3"/>
          <w:sz w:val="23"/>
          <w:szCs w:val="23"/>
        </w:rPr>
        <w:t xml:space="preserve">NCL HQ — IT Service Management Platform</w:t>
      </w:r>
    </w:p>
    <w:p>
      <w:pPr>
        <w:spacing w:after="30" w:before="30"/>
      </w:pPr>
    </w:p>
    <w:p>
      <w:pPr>
        <w:pBdr>
          <w:bottom w:val="thick" w:color="B8560A" w:sz="10"/>
        </w:pBdr>
        <w:jc w:val="center"/>
      </w:pPr>
    </w:p>
    <w:p>
      <w:pPr>
        <w:spacing w:after="30" w:before="3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BACKEND ARCHITECTURE BLUEPRINT</w:t>
      </w:r>
    </w:p>
    <w:p>
      <w:pPr>
        <w:jc w:val="center"/>
      </w:pPr>
      <w:r>
        <w:rPr>
          <w:rFonts w:ascii="Arial" w:cs="Arial" w:eastAsia="Arial" w:hAnsi="Arial"/>
          <w:i/>
          <w:iCs/>
          <w:color w:val="2E5FA3"/>
          <w:sz w:val="21"/>
          <w:szCs w:val="21"/>
        </w:rPr>
        <w:t xml:space="preserve">Master Edition  ·  v3.0  ·  Spring Boot 3 + Java 21</w:t>
      </w:r>
    </w:p>
    <w:p>
      <w:pPr>
        <w:spacing w:after="30" w:before="30"/>
      </w:pPr>
    </w:p>
    <w:p>
      <w:pPr>
        <w:spacing w:after="30" w:before="30"/>
      </w:pPr>
    </w:p>
    <w:tbl>
      <w:tblPr>
        <w:tblW w:type="dxa" w:w="5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</w:tblGrid>
      <w:tr>
        <w:tc>
          <w:tcPr>
            <w:tcW w:type="dxa" w:w="25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Document Type</w:t>
            </w:r>
          </w:p>
        </w:tc>
        <w:tc>
          <w:tcPr>
            <w:tcW w:type="dxa" w:w="3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Backend Architecture Blueprint — Master Edition</w:t>
            </w:r>
          </w:p>
        </w:tc>
      </w:tr>
      <w:tr>
        <w:tc>
          <w:tcPr>
            <w:tcW w:type="dxa" w:w="25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Prepared For</w:t>
            </w:r>
          </w:p>
        </w:tc>
        <w:tc>
          <w:tcPr>
            <w:tcW w:type="dxa" w:w="3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NCL Headquarters, Government of India</w:t>
            </w:r>
          </w:p>
        </w:tc>
      </w:tr>
      <w:tr>
        <w:tc>
          <w:tcPr>
            <w:tcW w:type="dxa" w:w="25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3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Internal — Restricted</w:t>
            </w:r>
          </w:p>
        </w:tc>
      </w:tr>
      <w:tr>
        <w:tc>
          <w:tcPr>
            <w:tcW w:type="dxa" w:w="25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Version</w:t>
            </w:r>
          </w:p>
        </w:tc>
        <w:tc>
          <w:tcPr>
            <w:tcW w:type="dxa" w:w="3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3.0 — Combined Master</w:t>
            </w:r>
          </w:p>
        </w:tc>
      </w:tr>
      <w:tr>
        <w:tc>
          <w:tcPr>
            <w:tcW w:type="dxa" w:w="25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Date</w:t>
            </w:r>
          </w:p>
        </w:tc>
        <w:tc>
          <w:tcPr>
            <w:tcW w:type="dxa" w:w="3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June 2026</w:t>
            </w:r>
          </w:p>
        </w:tc>
      </w:tr>
      <w:tr>
        <w:tc>
          <w:tcPr>
            <w:tcW w:type="dxa" w:w="25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Backend Stack</w:t>
            </w:r>
          </w:p>
        </w:tc>
        <w:tc>
          <w:tcPr>
            <w:tcW w:type="dxa" w:w="3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Spring Boot 3 · Java 21 · PostgreSQL 15 · Redis 7 · RabbitMQ</w:t>
            </w:r>
          </w:p>
        </w:tc>
      </w:tr>
      <w:tr>
        <w:tc>
          <w:tcPr>
            <w:tcW w:type="dxa" w:w="25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3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Modular Monolith with DDD Boundaries</w:t>
            </w:r>
          </w:p>
        </w:tc>
      </w:tr>
    </w:tbl>
    <w:p>
      <w:pPr>
        <w:spacing w:after="30" w:before="30"/>
      </w:pPr>
    </w:p>
    <w:p>
      <w:pPr>
        <w:spacing w:after="30" w:before="30"/>
      </w:pPr>
    </w:p>
    <w:p>
      <w:pPr>
        <w:spacing w:after="30" w:before="30"/>
      </w:pPr>
    </w:p>
    <w:p>
      <w:pPr>
        <w:spacing w:after="30" w:before="30"/>
      </w:pPr>
    </w:p>
    <w:p>
      <w:r>
        <w:br w:type="pag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 Executive Summary</w:t>
      </w:r>
    </w:p>
    <w:p>
      <w:pPr>
        <w:pBdr>
          <w:bottom w:val="single" w:color="2E5FA3" w:sz="4"/>
        </w:pBdr>
        <w:spacing w:after="70" w:before="50"/>
      </w:pPr>
    </w:p>
    <w:p>
      <w:pPr>
        <w:spacing w:after="55" w:before="55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This document is the definitive Backend Architecture Blueprint for the NCL HQ IT Service Management (ITSM) Platform, combining all prior versions into a single authoritative reference. The platform is built on Spring Boot 3 / Java 21 with a Modular Monolith architecture governed by strict Domain-Driven Design (DDD) boundaries, backed by PostgreSQL 15, Redis 7, and RabbitMQ.</w:t>
      </w:r>
    </w:p>
    <w:p>
      <w:pPr>
        <w:spacing w:after="30" w:before="30"/>
      </w:pPr>
    </w:p>
    <w:p>
      <w:pPr>
        <w:spacing w:after="55" w:before="55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The platform manages three primary capability domains: Hardware Asset Management (HAM), Software Asset Management (SAM), and Employee Self-Service (ESS) Ticketing — deployed entirely on NCL's on-premise infrastructure for full data sovereignty and government compliance.</w:t>
      </w:r>
    </w:p>
    <w:p>
      <w:pPr>
        <w:spacing w:after="30" w:before="3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60"/>
      </w:tblGrid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Principle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Modularity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System organized into eleven independent domain modules — no direct cross-module coupling permitted.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Domain-Driven Design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Each module owns its bounded context, data model, and business logic; inter-module calls via service interfaces or RabbitMQ events only.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Future-Ready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Designed for microservice extraction, multi-organisation support, and Government Digital Platform integrations without re-architecture.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Secure by Design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OWASP Top 10 controls, AES-256 encryption, RBAC, AD/LDAP, TLS 1.2+, and rate limiting enforced from day one.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Observable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Structured JSON logging, Micrometer metrics, correlation IDs, and health-check endpoints throughout every module.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Stateless Services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Application layer is fully stateless; all shared state in Redis — enabling horizontal scaling at any time.</w:t>
            </w:r>
          </w:p>
        </w:tc>
      </w:tr>
    </w:tbl>
    <w:p>
      <w:pPr>
        <w:spacing w:after="30" w:before="30"/>
      </w:pP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 Architecture &amp; Technology Stack</w:t>
      </w:r>
    </w:p>
    <w:p>
      <w:pPr>
        <w:pBdr>
          <w:bottom w:val="single" w:color="2E5FA3" w:sz="4"/>
        </w:pBdr>
        <w:spacing w:after="70" w:before="50"/>
      </w:pP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2.1 Architecture Style — Modular Monolith</w:t>
      </w:r>
    </w:p>
    <w:p>
      <w:pPr>
        <w:pBdr>
          <w:left w:val="thick" w:color="B8560A" w:sz="14"/>
        </w:pBdr>
        <w:spacing w:after="80" w:before="80"/>
        <w:ind w:left="260" w:right="260"/>
      </w:pPr>
      <w:r>
        <w:rPr>
          <w:rFonts w:ascii="Arial" w:cs="Arial" w:eastAsia="Arial" w:hAnsi="Arial"/>
          <w:b/>
          <w:bCs/>
          <w:color w:val="B8560A"/>
          <w:sz w:val="19"/>
          <w:szCs w:val="19"/>
        </w:rPr>
        <w:t xml:space="preserve">Decision: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Modular Monolith for the prototype and initial production phase. Strict DDD boundaries from day one ensure any module can be extracted into a microservice without redesign.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Single deployable unit — simplified on-premise operations for the NCL IT team.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Hard module boundaries via Java package-private access enforcement; cross-module coupling fails the build.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No shared JPA entities or repositories across modules; all inter-module calls use published service interfaces.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RabbitMQ event publishing from day one, decoupling modules asynchronously and enabling future event-driven extraction.</w:t>
      </w:r>
    </w:p>
    <w:p>
      <w:pPr>
        <w:spacing w:after="30" w:before="30"/>
      </w:pP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2.2 Final Technology Stack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60"/>
      </w:tblGrid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4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Backend Runtime</w:t>
            </w:r>
          </w:p>
        </w:tc>
        <w:tc>
          <w:tcPr>
            <w:tcW w:type="dxa" w:w="3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Spring Boot 3.x + Java 21 (LTS)</w:t>
            </w:r>
          </w:p>
        </w:tc>
        <w:tc>
          <w:tcPr>
            <w:tcW w:type="dxa" w:w="4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Production-ready; virtual threads (Project Loom); long-term JDK support; largest Java talent pool in India.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Primary Database</w:t>
            </w:r>
          </w:p>
        </w:tc>
        <w:tc>
          <w:tcPr>
            <w:tcW w:type="dxa" w:w="3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PostgreSQL 15+</w:t>
            </w:r>
          </w:p>
        </w:tc>
        <w:tc>
          <w:tcPr>
            <w:tcW w:type="dxa" w:w="4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ACID compliance, JSONB, full-text search, table partitioning — ideal for tickets, assets, and audit logs.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Caching / Session</w:t>
            </w:r>
          </w:p>
        </w:tc>
        <w:tc>
          <w:tcPr>
            <w:tcW w:type="dxa" w:w="3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Redis 7</w:t>
            </w:r>
          </w:p>
        </w:tc>
        <w:tc>
          <w:tcPr>
            <w:tcW w:type="dxa" w:w="4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In-memory cache for permissions, config, dashboard aggregates; Pub/Sub for real-time events.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Message Broker</w:t>
            </w:r>
          </w:p>
        </w:tc>
        <w:tc>
          <w:tcPr>
            <w:tcW w:type="dxa" w:w="3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RabbitMQ (Kafka-ready)</w:t>
            </w:r>
          </w:p>
        </w:tc>
        <w:tc>
          <w:tcPr>
            <w:tcW w:type="dxa" w:w="4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Reliable async notification dispatch and import job queuing; Kafka as future high-volume upgrade path.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Search &amp; Analytics</w:t>
            </w:r>
          </w:p>
        </w:tc>
        <w:tc>
          <w:tcPr>
            <w:tcW w:type="dxa" w:w="3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Elasticsearch / OpenSearch</w:t>
            </w:r>
          </w:p>
        </w:tc>
        <w:tc>
          <w:tcPr>
            <w:tcW w:type="dxa" w:w="4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Advanced full-text search on tickets and assets; introduced when PostgreSQL full-text reaches its limit.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Spring Data JPA + Hibernate</w:t>
            </w:r>
          </w:p>
        </w:tc>
        <w:tc>
          <w:tcPr>
            <w:tcW w:type="dxa" w:w="4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Multi-tenancy, auditing, optimistic locking, and N+1 prevention via @EntityGraph.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Auth Library</w:t>
            </w:r>
          </w:p>
        </w:tc>
        <w:tc>
          <w:tcPr>
            <w:tcW w:type="dxa" w:w="3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Spring Security + JJWT</w:t>
            </w:r>
          </w:p>
        </w:tc>
        <w:tc>
          <w:tcPr>
            <w:tcW w:type="dxa" w:w="4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JWT (RS256) + AD/LDAP; RBAC via method-level @PreAuthorize annotations.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Connection Pool</w:t>
            </w:r>
          </w:p>
        </w:tc>
        <w:tc>
          <w:tcPr>
            <w:tcW w:type="dxa" w:w="3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HikariCP (built-in)</w:t>
            </w:r>
          </w:p>
        </w:tc>
        <w:tc>
          <w:tcPr>
            <w:tcW w:type="dxa" w:w="4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Fastest JDBC pool; default Spring Boot choice; zero-config overhead.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Async Processing</w:t>
            </w:r>
          </w:p>
        </w:tc>
        <w:tc>
          <w:tcPr>
            <w:tcW w:type="dxa" w:w="3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Spring @Async + RabbitMQ</w:t>
            </w:r>
          </w:p>
        </w:tc>
        <w:tc>
          <w:tcPr>
            <w:tcW w:type="dxa" w:w="4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Non-blocking notification dispatch; bulk imports; scheduled license-expiry jobs via Spring Scheduler.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Local FS via Spring Resource</w:t>
            </w:r>
          </w:p>
        </w:tc>
        <w:tc>
          <w:tcPr>
            <w:tcW w:type="dxa" w:w="4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On-premise constraint; swap to MinIO or S3 with a single provider class change.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Build &amp; Deploy</w:t>
            </w:r>
          </w:p>
        </w:tc>
        <w:tc>
          <w:tcPr>
            <w:tcW w:type="dxa" w:w="3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Maven (or Gradle) + Docker</w:t>
            </w:r>
          </w:p>
        </w:tc>
        <w:tc>
          <w:tcPr>
            <w:tcW w:type="dxa" w:w="4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Reproducible builds; containerized for future Kubernetes or on-premise VM deployment.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Micrometer + Actuator</w:t>
            </w:r>
          </w:p>
        </w:tc>
        <w:tc>
          <w:tcPr>
            <w:tcW w:type="dxa" w:w="4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Prometheus-compatible metrics; liveness/readiness health checks; Grafana dashboards.</w:t>
            </w:r>
          </w:p>
        </w:tc>
      </w:tr>
    </w:tbl>
    <w:p>
      <w:r>
        <w:br w:type="pag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 Backend Module Decomposition</w:t>
      </w:r>
    </w:p>
    <w:p>
      <w:pPr>
        <w:pBdr>
          <w:bottom w:val="single" w:color="2E5FA3" w:sz="4"/>
        </w:pBdr>
        <w:spacing w:after="70" w:before="50"/>
      </w:pPr>
    </w:p>
    <w:p>
      <w:pPr>
        <w:spacing w:after="55" w:before="55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Eleven bounded-context modules each follow a four-layer internal structure: API (Controllers/DTOs) → Application (Use Cases/Services) → Domain (Entities/Value Objects/Events) → Infrastructure (JPA Repositories/Adapters). Dependencies point strictly inward.</w:t>
      </w:r>
    </w:p>
    <w:p>
      <w:pPr>
        <w:spacing w:after="30" w:before="3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60"/>
      </w:tblGrid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Responsibilities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User Management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Employee profiles keyed on EIS number; department/designation data; directory sync. Publishes UserCreated, UserUpdated events to RabbitMQ.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AD/LDAP bind auth; OTP fallback; RS256 JWT (15-min access / 8-hr refresh); refresh token rotation; account lockout after 5 failures.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Asset Management (HAM)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Hardware inventory CRUD; lifecycle state machine; consumables stock with material code tracking; Excel/CSV reconciliation via Apache POI + async background job.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Software Asset Mgmt (SAM)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License registry with seat-count enforcement; deployment mapping to workstations/users; 90/60/30-day expiry alerts via Spring Scheduler + RabbitMQ.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Ticket Management (ESS)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INC-YYYY-NNNNN ticket ID generation; auto-routing to Hardware or Software queues; SLA clock; 8-state lifecycle; attachment linkage; bulk operations.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Notification Service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Async RabbitMQ consumer; Email (JavaMail/SMTP), SMS (provider-agnostic), In-App channels; DB-stored templates; exponential back-off retry (max 5 attempts); dead-letter queue.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Workflow Engine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Spring State Machine; SLA calculation; escalation rules; auto-assignment (round-robin / least-loaded); time-based trigger evaluation.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Document Service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File upload API; MIME whitelist; UUID storage; metadata table; ClamAV scan hook; download auth against parent-entity permission.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Reporting Service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KPI aggregations; scheduled snapshots; on-demand exports (Apache POI / JasperReports); reads from materialised views — never transactional tables.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Audit &amp; Compliance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Append-only audit log consumer; records actor, event type, before/after JSON snapshots, IP, timestamp; year-partitioned; immutability at DB trigger level.</w:t>
            </w:r>
          </w:p>
        </w:tc>
      </w:tr>
      <w:tr>
        <w:tc>
          <w:tcPr>
            <w:tcW w:type="dxa" w:w="2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Configuration Service</w:t>
            </w:r>
          </w:p>
        </w:tc>
        <w:tc>
          <w:tcPr>
            <w:tcW w:type="dxa" w:w="6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Runtime system settings (SLA thresholds, alert lead times, role permissions); Redis-cached with event-driven invalidation; full change audit trail.</w:t>
            </w:r>
          </w:p>
        </w:tc>
      </w:tr>
    </w:tbl>
    <w:p>
      <w:pPr>
        <w:spacing w:after="30" w:before="30"/>
      </w:pPr>
    </w:p>
    <w:p>
      <w:pPr>
        <w:pBdr>
          <w:left w:val="thick" w:color="B8560A" w:sz="14"/>
        </w:pBdr>
        <w:spacing w:after="80" w:before="80"/>
        <w:ind w:left="260" w:right="260"/>
      </w:pPr>
      <w:r>
        <w:rPr>
          <w:rFonts w:ascii="Arial" w:cs="Arial" w:eastAsia="Arial" w:hAnsi="Arial"/>
          <w:b/>
          <w:bCs/>
          <w:color w:val="B8560A"/>
          <w:sz w:val="19"/>
          <w:szCs w:val="19"/>
        </w:rPr>
        <w:t xml:space="preserve">Dependency Rule: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No module imports another module's JPA entity or repository directly. All cross-module communication uses published service interfaces or RabbitMQ domain events.</w:t>
      </w:r>
    </w:p>
    <w:p>
      <w:r>
        <w:br w:type="pag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 Database Architecture</w:t>
      </w:r>
    </w:p>
    <w:p>
      <w:pPr>
        <w:pBdr>
          <w:bottom w:val="single" w:color="2E5FA3" w:sz="4"/>
        </w:pBdr>
        <w:spacing w:after="70" w:before="50"/>
      </w:pPr>
    </w:p>
    <w:p>
      <w:pPr>
        <w:pBdr>
          <w:left w:val="thick" w:color="B8560A" w:sz="14"/>
        </w:pBdr>
        <w:spacing w:after="80" w:before="80"/>
        <w:ind w:left="260" w:right="260"/>
      </w:pPr>
      <w:r>
        <w:rPr>
          <w:rFonts w:ascii="Arial" w:cs="Arial" w:eastAsia="Arial" w:hAnsi="Arial"/>
          <w:b/>
          <w:bCs/>
          <w:color w:val="B8560A"/>
          <w:sz w:val="19"/>
          <w:szCs w:val="19"/>
        </w:rPr>
        <w:t xml:space="preserve">Decision: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PostgreSQL 15 is the sole database for all transactional data. Multi-tenancy discriminator columns embedded in every core table from migration zero.</w:t>
      </w:r>
    </w:p>
    <w:p>
      <w:pPr>
        <w:spacing w:after="30" w:before="30"/>
      </w:pP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4.1 Multi-Tenancy &amp; Org Design</w:t>
      </w:r>
    </w:p>
    <w:p>
      <w:pPr>
        <w:spacing w:after="55" w:before="55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Three discriminator columns are present in every major domain table from the first migration, enabling future subsidiary and multi-location expansion with zero schema changes: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tenant_id — NCL subsidiary isolation (HQ, Jayant, Nigahi, Dudhichua, etc.).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organization_id — department / division grouping within a tenant.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location_id — physical location (building, block, floor) for assets and users.</w:t>
      </w:r>
    </w:p>
    <w:p>
      <w:pPr>
        <w:spacing w:after="55" w:before="55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Additional standards: all PKs use UUID v4 for distributed-system readiness; all timestamps stored in UTC.</w:t>
      </w:r>
    </w:p>
    <w:p>
      <w:pPr>
        <w:spacing w:after="30" w:before="30"/>
      </w:pP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4.2 Core Domain Tables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60"/>
      </w:tblGrid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Columns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id (UUID), eis_number, full_name, email, mobile_enc, designation, department_id, tenant_id, org_id, location_id, is_active, failed_login_count, locked_at, ad_guid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roles / permissions</w:t>
            </w:r>
          </w:p>
        </w:tc>
        <w:tc>
          <w:tcPr>
            <w:tcW w:type="dxa" w:w="71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roles(id, name, tenant_id, scope); permissions(id, code, description); role_permissions(role_id, perm_id); user_roles(user_id, role_id)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hardware_assets</w:t>
            </w:r>
          </w:p>
        </w:tc>
        <w:tc>
          <w:tcPr>
            <w:tcW w:type="dxa" w:w="71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id, asset_tag, category, make, model, serial_no, department_id, assigned_user_id, location_id, condition, status, tenant_id, org_id, procured_at, retired_at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consumable_stock</w:t>
            </w:r>
          </w:p>
        </w:tc>
        <w:tc>
          <w:tcPr>
            <w:tcW w:type="dxa" w:w="71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id, material_code, description, qty_available, qty_reserved, reorder_level, tenant_id, org_id, updated_at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software_licenses</w:t>
            </w:r>
          </w:p>
        </w:tc>
        <w:tc>
          <w:tcPr>
            <w:tcW w:type="dxa" w:w="71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id, product, vendor_id, license_key_hash, seat_count, allocated_count, expiry_date, license_type, tenant_id, org_id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software_deployments</w:t>
            </w:r>
          </w:p>
        </w:tc>
        <w:tc>
          <w:tcPr>
            <w:tcW w:type="dxa" w:w="71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id, license_id, asset_id, user_id, deployed_at, undeployed_at, tenant_id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tickets</w:t>
            </w:r>
          </w:p>
        </w:tc>
        <w:tc>
          <w:tcPr>
            <w:tcW w:type="dxa" w:w="71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id, ticket_number (INC-YYYY-NNNNN), category, sub_category, impact_level, summary, description, status, priority, reporter_id, engineer_id, queue_id, sla_due_at, tenant_id, org_id, location_id, created_at, resolved_at, closed_at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ticket_history</w:t>
            </w:r>
          </w:p>
        </w:tc>
        <w:tc>
          <w:tcPr>
            <w:tcW w:type="dxa" w:w="71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id, ticket_id, actor_id, old_status, new_status, comment, changed_at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attachments</w:t>
            </w:r>
          </w:p>
        </w:tc>
        <w:tc>
          <w:tcPr>
            <w:tcW w:type="dxa" w:w="71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id, entity_type, entity_id, file_name, stored_path (UUID), mime_type, file_size_bytes, checksum, uploaded_by, uploaded_at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id, recipient_id, channel, template_code, payload_json, status, retry_count, last_error, sent_at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audit_logs</w:t>
            </w:r>
          </w:p>
        </w:tc>
        <w:tc>
          <w:tcPr>
            <w:tcW w:type="dxa" w:w="71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id, actor_id, event_type, entity_type, entity_id, before_json, after_json, ip_address, tenant_id, occurred_at  ← PARTITIONED BY YEAR, INSERT-ONLY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71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id, config_key, config_value, tenant_id, scope, description, last_modified_by, last_modified_at</w:t>
            </w:r>
          </w:p>
        </w:tc>
      </w:tr>
    </w:tbl>
    <w:p>
      <w:pPr>
        <w:spacing w:after="30" w:before="30"/>
      </w:pP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4.3 Retention, Archival &amp; Backup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Audit logs: INSERT-ONLY; no UPDATE or DELETE ever granted to the application role. Year-partitioned. Minimum 7-year retention per GoI IT audit policy.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Closed tickets (&gt;2 years old): archived to a read-only partition; accessible via reporting views only.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Retired assets: soft-deleted (is_active = false); full history and audit trail preserved indefinitely.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Backups: daily full PostgreSQL dump + hourly WAL streaming archive to NCL on-premise NAS; 30-day rolling retention.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Composite indexes on: tickets(status, engineer_id, created_at); assets(status, location_id); licenses(expiry_date, tenant_id); audit_logs(actor_id, occurred_at).</w:t>
      </w:r>
    </w:p>
    <w:p>
      <w:r>
        <w:br w:type="pag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 Authentication, Authorisation &amp; Security</w:t>
      </w:r>
    </w:p>
    <w:p>
      <w:pPr>
        <w:pBdr>
          <w:bottom w:val="single" w:color="2E5FA3" w:sz="4"/>
        </w:pBdr>
        <w:spacing w:after="70" w:before="50"/>
      </w:pP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5.1 Authentication Flow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Primary: EIS number + password validated via AD/LDAP bind using Spring Security LDAP.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Fallback: OTP sent to registered mobile/email when AD is unreachable (configurable).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Token issuance: RS256-signed JWT access token (15-min TTL) + refresh token (8-hr TTL, rotated on every use).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Account lockout: 5 consecutive failures → 15-min auto-lockout + IT Administrator manual unlock capability.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Session management: max 2 concurrent sessions per user; remote revocation supported via Redis token blacklist.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SSO readiness: OIDC / SAML 2.0 Spring Security filter already designed; connects to NIC SSO or DigiLocker without structural changes.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MFA readiness: TOTP layer insertable at authentication filter level without business logic changes.</w:t>
      </w:r>
    </w:p>
    <w:p>
      <w:pPr>
        <w:spacing w:after="30" w:before="30"/>
      </w:pP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5.2 Role-Based Access Control (RBAC)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Permission Scope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Employee</w:t>
            </w:r>
          </w:p>
        </w:tc>
        <w:tc>
          <w:tcPr>
            <w:tcW w:type="dxa" w:w="7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Submit tickets; view own ticket history; view own asset assignments.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Support Engineer</w:t>
            </w:r>
          </w:p>
        </w:tc>
        <w:tc>
          <w:tcPr>
            <w:tcW w:type="dxa" w:w="7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+ View &amp; update assigned tickets; add comments and notes; change ticket status.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Asset Manager</w:t>
            </w:r>
          </w:p>
        </w:tc>
        <w:tc>
          <w:tcPr>
            <w:tcW w:type="dxa" w:w="7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+ Manage hardware/software assets; run Excel reconciliation; view all asset records.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IT Administrator</w:t>
            </w:r>
          </w:p>
        </w:tc>
        <w:tc>
          <w:tcPr>
            <w:tcW w:type="dxa" w:w="7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+ Manage users, roles, SLA configs, queues, notification templates; view all tickets.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Super Administrator</w:t>
            </w:r>
          </w:p>
        </w:tc>
        <w:tc>
          <w:tcPr>
            <w:tcW w:type="dxa" w:w="7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Full access: audit log review, tenant/org management, system configuration, administrator lifecycle.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Read-Only Auditor</w:t>
            </w:r>
          </w:p>
        </w:tc>
        <w:tc>
          <w:tcPr>
            <w:tcW w:type="dxa" w:w="70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Read access to audit logs, reports, and configuration — no write operations.</w:t>
            </w:r>
          </w:p>
        </w:tc>
      </w:tr>
    </w:tbl>
    <w:p>
      <w:pPr>
        <w:spacing w:after="55" w:before="55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Permission matrix cached in Redis; explicit invalidation on every role or permission change. Permission checks enforced at both the API controller layer and the service layer (defense in depth).</w:t>
      </w:r>
    </w:p>
    <w:p>
      <w:pPr>
        <w:spacing w:after="30" w:before="30"/>
      </w:pP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5.3 Security Controls (OWASP-Aligned)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c>
          <w:tcPr>
            <w:tcW w:type="dxa" w:w="2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72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Input Validation</w:t>
            </w:r>
          </w:p>
        </w:tc>
        <w:tc>
          <w:tcPr>
            <w:tcW w:type="dxa" w:w="72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Jakarta Bean Validation on all request DTOs; whitelist approach — unknown fields rejected at deserialization.</w:t>
            </w:r>
          </w:p>
        </w:tc>
      </w:tr>
      <w:tr>
        <w:tc>
          <w:tcPr>
            <w:tcW w:type="dxa" w:w="2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SQL Injection (A03)</w:t>
            </w:r>
          </w:p>
        </w:tc>
        <w:tc>
          <w:tcPr>
            <w:tcW w:type="dxa" w:w="72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Spring Data JPA parameterised queries exclusively; raw SQL prohibited and enforced in code reviews.</w:t>
            </w:r>
          </w:p>
        </w:tc>
      </w:tr>
      <w:tr>
        <w:tc>
          <w:tcPr>
            <w:tcW w:type="dxa" w:w="2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Broken Access Control (A01)</w:t>
            </w:r>
          </w:p>
        </w:tc>
        <w:tc>
          <w:tcPr>
            <w:tcW w:type="dxa" w:w="72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RBAC at API layer + object-level authorisation at service layer; engineers access only their assigned tickets.</w:t>
            </w:r>
          </w:p>
        </w:tc>
      </w:tr>
      <w:tr>
        <w:tc>
          <w:tcPr>
            <w:tcW w:type="dxa" w:w="2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Encryption in Transit (A02)</w:t>
            </w:r>
          </w:p>
        </w:tc>
        <w:tc>
          <w:tcPr>
            <w:tcW w:type="dxa" w:w="72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TLS 1.2+ on all API traffic via NCL on-premise Nginx; no plain HTTP in any environment above development.</w:t>
            </w:r>
          </w:p>
        </w:tc>
      </w:tr>
      <w:tr>
        <w:tc>
          <w:tcPr>
            <w:tcW w:type="dxa" w:w="2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Encryption at Rest (A02)</w:t>
            </w:r>
          </w:p>
        </w:tc>
        <w:tc>
          <w:tcPr>
            <w:tcW w:type="dxa" w:w="72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Sensitive columns (mobile numbers, license key hashes) encrypted AES-256 at application layer; OS full-disk encryption.</w:t>
            </w:r>
          </w:p>
        </w:tc>
      </w:tr>
      <w:tr>
        <w:tc>
          <w:tcPr>
            <w:tcW w:type="dxa" w:w="2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72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Bucket4j + Spring Security: 100 req/min per authenticated user; 10 req/min on auth endpoints; 5 OTP requests/hr.</w:t>
            </w:r>
          </w:p>
        </w:tc>
      </w:tr>
      <w:tr>
        <w:tc>
          <w:tcPr>
            <w:tcW w:type="dxa" w:w="2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Secret Management</w:t>
            </w:r>
          </w:p>
        </w:tc>
        <w:tc>
          <w:tcPr>
            <w:tcW w:type="dxa" w:w="72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No credentials in source code or config files; environment variables or HashiCorp Vault; rotated on compromise.</w:t>
            </w:r>
          </w:p>
        </w:tc>
      </w:tr>
      <w:tr>
        <w:tc>
          <w:tcPr>
            <w:tcW w:type="dxa" w:w="2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File Upload Security</w:t>
            </w:r>
          </w:p>
        </w:tc>
        <w:tc>
          <w:tcPr>
            <w:tcW w:type="dxa" w:w="72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MIME type whitelist; 10 MB max per file; UUID-based stored filenames; ClamAV scan hook before serving; download auth check.</w:t>
            </w:r>
          </w:p>
        </w:tc>
      </w:tr>
      <w:tr>
        <w:tc>
          <w:tcPr>
            <w:tcW w:type="dxa" w:w="2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Auth Failures (A07)</w:t>
            </w:r>
          </w:p>
        </w:tc>
        <w:tc>
          <w:tcPr>
            <w:tcW w:type="dxa" w:w="72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Account lockout after 5 failures; 15-min auto-unlock; JWT short TTL (15 min); refresh token rotation on every use.</w:t>
            </w:r>
          </w:p>
        </w:tc>
      </w:tr>
      <w:tr>
        <w:tc>
          <w:tcPr>
            <w:tcW w:type="dxa" w:w="2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Audit Logging (A09)</w:t>
            </w:r>
          </w:p>
        </w:tc>
        <w:tc>
          <w:tcPr>
            <w:tcW w:type="dxa" w:w="72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Immutable structured audit log for all auth events, data changes, admin actions, permission changes.</w:t>
            </w:r>
          </w:p>
        </w:tc>
      </w:tr>
      <w:tr>
        <w:tc>
          <w:tcPr>
            <w:tcW w:type="dxa" w:w="20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SIEM Readiness</w:t>
            </w:r>
          </w:p>
        </w:tc>
        <w:tc>
          <w:tcPr>
            <w:tcW w:type="dxa" w:w="72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Security events emitted to dedicated RabbitMQ topic; future SIEM consumer (Splunk/Elastic) subscribes without code changes.</w:t>
            </w:r>
          </w:p>
        </w:tc>
      </w:tr>
    </w:tbl>
    <w:p>
      <w:r>
        <w:br w:type="pag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 Workflow Engine &amp; Integrations</w:t>
      </w:r>
    </w:p>
    <w:p>
      <w:pPr>
        <w:pBdr>
          <w:bottom w:val="single" w:color="2E5FA3" w:sz="4"/>
        </w:pBdr>
        <w:spacing w:after="70" w:before="50"/>
      </w:pP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6.1 Ticket Lifecycle — State Machine</w:t>
      </w:r>
    </w:p>
    <w:p>
      <w:pPr>
        <w:spacing w:after="55" w:before="55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Implemented via Spring State Machine. Every transition is validated, persisted in ticket_history, and publishes a RabbitMQ domain event consumed by Notification and Audit services.</w:t>
      </w:r>
    </w:p>
    <w:p>
      <w:pPr>
        <w:spacing w:after="30" w:before="3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360"/>
      </w:tblGrid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 &amp; Actions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Created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Employee submits ticket → INC-YYYY-NNNNN generated → SLA clock starts → auto-route to queue → NotificationQueued event published.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Assigned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Queue auto-assign (round-robin / least-loaded) or manual assignment → engineer notified via RabbitMQ → in-app alert.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Engineer updates status → timestamp recorded → history entry written.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Pending Employee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Engineer awaiting employee action → SLA clock paused → employee notified.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Escalated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SLA 100% elapsed OR manual escalation → IT Admin notified → EscalationEvent published.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Resolved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Engineer marks resolved → 48-hr auto-close timer starts → employee confirmation request sent.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Closed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Employee confirms OR 48-hr timer fires → immutable closure → CSAT survey event queued.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Reopened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Employee disputes within 5 business days → returns to Assigned → full audit trail preserved.</w:t>
            </w:r>
          </w:p>
        </w:tc>
      </w:tr>
    </w:tbl>
    <w:p>
      <w:pPr>
        <w:spacing w:after="30" w:before="30"/>
      </w:pP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6.2 Asset &amp; License Lifecycles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Hardware: Procured → Available → Assigned → Maintenance → Available → Retired. Every transition records actor, timestamp, and justification.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Software license: Active → Allocated → Expiring (90/30/7 day alerts) → Expired → Revoked. Allocation engine blocks over-allocation beyond seat count.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Retirement and expiry events trigger notifications to the Asset Manager and immutable audit records.</w:t>
      </w:r>
    </w:p>
    <w:p>
      <w:pPr>
        <w:spacing w:after="30" w:before="30"/>
      </w:pP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6.3 Integration Adapter Registry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5860"/>
      </w:tblGrid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1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8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Approach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Active Directory / LDAP</w:t>
            </w:r>
          </w:p>
        </w:tc>
        <w:tc>
          <w:tcPr>
            <w:tcW w:type="dxa" w:w="1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1</w:t>
            </w:r>
          </w:p>
        </w:tc>
        <w:tc>
          <w:tcPr>
            <w:tcW w:type="dxa" w:w="58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Spring Security LDAP; bind auth on EIS number; attribute sync (name, dept, designation) on each login.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Email Server (SMTP)</w:t>
            </w:r>
          </w:p>
        </w:tc>
        <w:tc>
          <w:tcPr>
            <w:tcW w:type="dxa" w:w="1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1</w:t>
            </w:r>
          </w:p>
        </w:tc>
        <w:tc>
          <w:tcPr>
            <w:tcW w:type="dxa" w:w="58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JavaMailSender adapter; NCL on-premise SMTP; TLS; credentials via environment variables.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SMS Gateway</w:t>
            </w:r>
          </w:p>
        </w:tc>
        <w:tc>
          <w:tcPr>
            <w:tcW w:type="dxa" w:w="1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1</w:t>
            </w:r>
          </w:p>
        </w:tc>
        <w:tc>
          <w:tcPr>
            <w:tcW w:type="dxa" w:w="58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Provider-agnostic SMSPort interface; NCL-approved bulk SMS implementation; fallback to email on failure.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Excel / CSV Reconciliation</w:t>
            </w:r>
          </w:p>
        </w:tc>
        <w:tc>
          <w:tcPr>
            <w:tcW w:type="dxa" w:w="1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1</w:t>
            </w:r>
          </w:p>
        </w:tc>
        <w:tc>
          <w:tcPr>
            <w:tcW w:type="dxa" w:w="58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Apache POI parser; column-mapping config; duplicate detection; async processing via RabbitMQ job queue.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HRMS / ERP System</w:t>
            </w:r>
          </w:p>
        </w:tc>
        <w:tc>
          <w:tcPr>
            <w:tcW w:type="dxa" w:w="1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2</w:t>
            </w:r>
          </w:p>
        </w:tc>
        <w:tc>
          <w:tcPr>
            <w:tcW w:type="dxa" w:w="58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Spring Integration adapter; employee master sync; auto-asset record creation from procurement approval.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SIEM Platform</w:t>
            </w:r>
          </w:p>
        </w:tc>
        <w:tc>
          <w:tcPr>
            <w:tcW w:type="dxa" w:w="1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2</w:t>
            </w:r>
          </w:p>
        </w:tc>
        <w:tc>
          <w:tcPr>
            <w:tcW w:type="dxa" w:w="58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RabbitMQ security-event topic; SIEM consumer (Splunk/Elastic) subscribes without any platform code changes.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Govt. Identity Provider</w:t>
            </w:r>
          </w:p>
        </w:tc>
        <w:tc>
          <w:tcPr>
            <w:tcW w:type="dxa" w:w="1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3</w:t>
            </w:r>
          </w:p>
        </w:tc>
        <w:tc>
          <w:tcPr>
            <w:tcW w:type="dxa" w:w="58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OIDC / SAML 2.0 Spring Security filter; NIC SSO / DigiLocker / Aadhaar e-KYC integration.</w:t>
            </w:r>
          </w:p>
        </w:tc>
      </w:tr>
      <w:tr>
        <w:tc>
          <w:tcPr>
            <w:tcW w:type="dxa" w:w="21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Elasticsearch / OpenSearch</w:t>
            </w:r>
          </w:p>
        </w:tc>
        <w:tc>
          <w:tcPr>
            <w:tcW w:type="dxa" w:w="13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2</w:t>
            </w:r>
          </w:p>
        </w:tc>
        <w:tc>
          <w:tcPr>
            <w:tcW w:type="dxa" w:w="58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Spring Data Elasticsearch; full-text indexing of tickets and assets when data volume justifies.</w:t>
            </w:r>
          </w:p>
        </w:tc>
      </w:tr>
    </w:tbl>
    <w:p>
      <w:r>
        <w:br w:type="pag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 API Design Standards</w:t>
      </w:r>
    </w:p>
    <w:p>
      <w:pPr>
        <w:pBdr>
          <w:bottom w:val="single" w:color="2E5FA3" w:sz="4"/>
        </w:pBdr>
        <w:spacing w:after="70" w:before="5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360"/>
      </w:tblGrid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Versioning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/api/v1/resource — URL-based; all routes version-prefixed. Breaking changes increment to /api/v2/. Prior version supported for one full release cycle.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HTTP Verbs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Semantic verbs enforced: GET (read), POST (create), PUT (full update), PATCH (partial update), DELETE (remove).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Naming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Lowercase hyphenated plural nouns: /api/v1/hardware-assets, /api/v1/tickets, /api/v1/software-licenses, /api/v1/audit-logs.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Response Envelope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{ "status": "success|error", "data": {…}, "message": "…", "errors": [{code, field, message}], "meta": { page, size, total } }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Error Codes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HTTP 400 (bad input) / 401 (unauthenticated) / 403 (forbidden) / 404 (not found) / 409 (conflict) / 422 (validation) / 429 (rate limited) / 500 (server error). Each includes a machine-readable error_code.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Pagination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Cursor-based for large datasets (tickets, audit logs). Page-offset for exports. Default page size 25, max 100.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Filtering &amp; Sorting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?status=OPEN&amp;priority=HIGH&amp;category=hardware; ?sort=created_at&amp;order=desc. Multi-value via comma: ?status=OPEN,ASSIGNED.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File Upload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Multipart/form-data; 10 MB maximum; MIME whitelist enforced; server returns UUID on success.</w:t>
            </w:r>
          </w:p>
        </w:tc>
      </w:tr>
      <w:tr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Documentation</w:t>
            </w:r>
          </w:p>
        </w:tc>
        <w:tc>
          <w:tcPr>
            <w:tcW w:type="dxa" w:w="73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springdoc-openapi auto-generates OpenAPI 3.0 spec. Swagger UI at /api/docs on dev/UAT only; disabled in production.</w:t>
            </w:r>
          </w:p>
        </w:tc>
      </w:tr>
    </w:tbl>
    <w:p>
      <w:pPr>
        <w:spacing w:after="30" w:before="30"/>
      </w:pP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 Performance, Scalability &amp; Observability</w:t>
      </w:r>
    </w:p>
    <w:p>
      <w:pPr>
        <w:pBdr>
          <w:bottom w:val="single" w:color="2E5FA3" w:sz="4"/>
        </w:pBdr>
        <w:spacing w:after="70" w:before="50"/>
      </w:pP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8.1 Performance Strategy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Redis caching: role/permission matrices (invalidated on change), system config (5-min TTL), dashboard KPI aggregates (15-min TTL). L1 in-process Caffeine cache for hot read-only config.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HikariCP connection pooling: pool size tuned to PostgreSQL max_connections; saturation monitored via Micrometer gauge.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Async processing: RabbitMQ consumers handle all notification dispatch, bulk imports, reconciliation jobs, and report generation. API returns a job ID immediately; client polls /api/v1/jobs/{id}/status.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N+1 prevention: Spring Data JPA @EntityGraph and batch-fetch size configuration on every list endpoint.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Reporting isolation: aggregate queries execute on PostgreSQL materialised views or a dedicated read replica — never the primary OLTP tables.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PostgreSQL slow-query logging enabled in all environments; query analysis included in every sprint review.</w:t>
      </w:r>
    </w:p>
    <w:p>
      <w:pPr>
        <w:spacing w:after="30" w:before="30"/>
      </w:pP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8.2 Scalability Design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Stateless API tier: all session and permission state stored in Redis; horizontal scaling via adding Spring Boot instances behind the NCL load balancer.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RabbitMQ consumers independently scalable: add consumer instances without touching the API layer.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Multi-tenancy discriminators (tenant_id, org_id, location_id) are row-level — onboarding a new NCL subsidiary requires only a data migration, not a schema change.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Module DDD boundaries ensure any individual module (Ticket, Notification, Asset) can be extracted into a standalone microservice when traffic warrants it.</w:t>
      </w:r>
    </w:p>
    <w:p>
      <w:pPr>
        <w:spacing w:after="30" w:before="30"/>
      </w:pP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8.3 Observability Stack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60"/>
      </w:tblGrid>
      <w:tr>
        <w:tc>
          <w:tcPr>
            <w:tcW w:type="dxa" w:w="1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Concern</w:t>
            </w:r>
          </w:p>
        </w:tc>
        <w:tc>
          <w:tcPr>
            <w:tcW w:type="dxa" w:w="74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Structured Logging</w:t>
            </w:r>
          </w:p>
        </w:tc>
        <w:tc>
          <w:tcPr>
            <w:tcW w:type="dxa" w:w="74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SLF4J + Logback emitting JSON logs; correlation ID injected via MDC on every request, propagated to async jobs. Log levels configurable per module at runtime. ELK / Splunk compatible.</w:t>
            </w:r>
          </w:p>
        </w:tc>
      </w:tr>
      <w:tr>
        <w:tc>
          <w:tcPr>
            <w:tcW w:type="dxa" w:w="1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Metrics</w:t>
            </w:r>
          </w:p>
        </w:tc>
        <w:tc>
          <w:tcPr>
            <w:tcW w:type="dxa" w:w="74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Micrometer + Prometheus adapter; /actuator/prometheus endpoint. Key metrics: API p50/p95/p99 latency, DB connection pool usage, RabbitMQ queue depth, SLA breach rate, error rate.</w:t>
            </w:r>
          </w:p>
        </w:tc>
      </w:tr>
      <w:tr>
        <w:tc>
          <w:tcPr>
            <w:tcW w:type="dxa" w:w="1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Health Checks</w:t>
            </w:r>
          </w:p>
        </w:tc>
        <w:tc>
          <w:tcPr>
            <w:tcW w:type="dxa" w:w="74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/actuator/health — liveness. /actuator/health/readiness — checks DB, Redis, and RabbitMQ. Integrated into Docker/Kubernetes probes.</w:t>
            </w:r>
          </w:p>
        </w:tc>
      </w:tr>
      <w:tr>
        <w:tc>
          <w:tcPr>
            <w:tcW w:type="dxa" w:w="1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Alerting</w:t>
            </w:r>
          </w:p>
        </w:tc>
        <w:tc>
          <w:tcPr>
            <w:tcW w:type="dxa" w:w="74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Grafana alert thresholds: API error rate &gt; 1%; p95 latency &gt; 2 s; DB latency &gt; 500 ms; queue depth &gt; 1 000 messages; auth failure spike.</w:t>
            </w:r>
          </w:p>
        </w:tc>
      </w:tr>
      <w:tr>
        <w:tc>
          <w:tcPr>
            <w:tcW w:type="dxa" w:w="1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Distributed Tracing</w:t>
            </w:r>
          </w:p>
        </w:tc>
        <w:tc>
          <w:tcPr>
            <w:tcW w:type="dxa" w:w="74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Spring Boot Actuator tracing; future Micrometer Tracing + Zipkin/Jaeger for cross-module request correlation.</w:t>
            </w:r>
          </w:p>
        </w:tc>
      </w:tr>
    </w:tbl>
    <w:p>
      <w:r>
        <w:br w:type="pag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 Audit &amp; Compliance</w:t>
      </w:r>
    </w:p>
    <w:p>
      <w:pPr>
        <w:pBdr>
          <w:bottom w:val="single" w:color="2E5FA3" w:sz="4"/>
        </w:pBdr>
        <w:spacing w:after="70" w:before="50"/>
      </w:pPr>
    </w:p>
    <w:p>
      <w:pPr>
        <w:spacing w:after="55" w:before="55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Audit logging is a first-class architectural concern, not an afterthought. The system is designed to satisfy Government of India IT audit requirements and support future ISO 27001 assessments.</w:t>
      </w:r>
    </w:p>
    <w:p>
      <w:pPr>
        <w:spacing w:after="30" w:before="30"/>
      </w:pP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Append-only audit_logs table — the application database role is granted INSERT only; UPDATE and DELETE are not permitted.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Every audit record captures: event_type, actor EIS number, entity_type, entity_id, before-state JSON, after-state JSON, IP address, and occurred_at (UTC).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Events captured: authentication (login, logout, lockout, OTP); asset state changes; ticket state changes; license changes; permission modifications; all administrative actions; configuration changes.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Audit table partitioned by year for query performance and targeted archival management.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Default retention: 7 years minimum per GoI policy; configurable per tenant/organisation.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Archival pipeline moves aged partitions to cold storage; data remains queryable via reporting views.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Dedicated /api/v1/audit-logs endpoint available to the Read-Only Auditor role with filtering and export capability.</w:t>
      </w:r>
    </w:p>
    <w:p>
      <w:pPr>
        <w:pBdr>
          <w:left w:val="thick" w:color="B8560A" w:sz="14"/>
        </w:pBdr>
        <w:spacing w:after="80" w:before="80"/>
        <w:ind w:left="260" w:right="260"/>
      </w:pPr>
      <w:r>
        <w:rPr>
          <w:rFonts w:ascii="Arial" w:cs="Arial" w:eastAsia="Arial" w:hAnsi="Arial"/>
          <w:b/>
          <w:bCs/>
          <w:color w:val="B8560A"/>
          <w:sz w:val="19"/>
          <w:szCs w:val="19"/>
        </w:rPr>
        <w:t xml:space="preserve">Compliance Note: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Purging or modifying audit records requires Super Administrator approval plus a justification record. This action is itself logged as an audit event.</w:t>
      </w:r>
    </w:p>
    <w:p>
      <w:pPr>
        <w:spacing w:after="30" w:before="30"/>
      </w:pP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 Backend Project Structure</w:t>
      </w:r>
    </w:p>
    <w:p>
      <w:pPr>
        <w:pBdr>
          <w:bottom w:val="single" w:color="2E5FA3" w:sz="4"/>
        </w:pBdr>
        <w:spacing w:after="70" w:before="50"/>
      </w:pPr>
    </w:p>
    <w:p>
      <w:pPr>
        <w:spacing w:after="55" w:before="55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Maven multi-module project following Clean Architecture — dependencies strictly point inward (API → Application → Domain ← Infrastructure).</w:t>
      </w:r>
    </w:p>
    <w:p>
      <w:pPr>
        <w:spacing w:after="30" w:before="3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2E2E2E"/>
          <w:sz w:val="15"/>
          <w:szCs w:val="15"/>
        </w:rPr>
        <w:t xml:space="preserve">ncl-itsm-backend/
├── ncl-itsm-core/                  # Shared kernel — no Spring dependencies
│   ├── domain/                     # Base entity, value objects, domain events
│   ├── exceptions/                 # Custom exception hierarchy
│   └── utils/                      # UUID generator, date utils, validators
│
├── ncl-itsm-modules/               # Feature modules (bounded contexts)
│   ├── user-management/
│   │   ├── domain/                 # User, Role, Permission entities
│   │   ├── application/            # UserService, use cases
│   │   ├── infrastructure/         # JPA repositories, LDAP adapter
│   │   └── api/                    # Controllers, DTOs, mappers
│   ├── authentication/
│   ├── asset-hardware/
│   ├── asset-software/
│   ├── ticket-management/
│   ├── notification/
│   ├── workflow-engine/
│   ├── document-service/
│   ├── reporting/
│   ├── audit/
│   └── configuration/
│
├── ncl-itsm-integrations/          # External system adapters
│   ├── active-directory/           # Spring LDAP adapter
│   ├── email-smtp/                 # JavaMailSender adapter
│   ├── sms-gateway/                # SMSPort interface + implementation
│   └── excel-parser/               # Apache POI reconciliation engine
│
├── ncl-itsm-config/                # Spring Boot entry point + configuration
│   ├── src/main/resources/
│   │   ├── application.yml
│   │   ├── application-dev.yml
│   │   ├── application-uat.yml
│   │   └── application-prod.yml
│   └── NCLItsmApplication.java
│
└── ncl-itsm-tests/                 # Integration &amp; E2E test suite</w:t>
      </w:r>
    </w:p>
    <w:p>
      <w:pPr>
        <w:pBdr>
          <w:left w:val="thick" w:color="B8560A" w:sz="14"/>
        </w:pBdr>
        <w:spacing w:after="80" w:before="80"/>
        <w:ind w:left="260" w:right="260"/>
      </w:pPr>
      <w:r>
        <w:rPr>
          <w:rFonts w:ascii="Arial" w:cs="Arial" w:eastAsia="Arial" w:hAnsi="Arial"/>
          <w:b/>
          <w:bCs/>
          <w:color w:val="B8560A"/>
          <w:sz w:val="19"/>
          <w:szCs w:val="19"/>
        </w:rPr>
        <w:t xml:space="preserve">Build Rule: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Each module is a separate Maven sub-project. Cross-module dependencies declared explicitly in pom.xml. Circular dependencies fail the build automatically.</w:t>
      </w:r>
    </w:p>
    <w:p>
      <w:r>
        <w:br w:type="pag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11. Future-Readiness &amp; Expansion Roadmap</w:t>
      </w:r>
    </w:p>
    <w:p>
      <w:pPr>
        <w:pBdr>
          <w:bottom w:val="single" w:color="2E5FA3" w:sz="4"/>
        </w:pBdr>
        <w:spacing w:after="70" w:before="5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660"/>
      </w:tblGrid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Future Capability</w:t>
            </w:r>
          </w:p>
        </w:tc>
        <w:tc>
          <w:tcPr>
            <w:tcW w:type="dxa" w:w="14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6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Architectural Readiness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CMDB</w:t>
            </w:r>
          </w:p>
        </w:tc>
        <w:tc>
          <w:tcPr>
            <w:tcW w:type="dxa" w:w="14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2</w:t>
            </w:r>
          </w:p>
        </w:tc>
        <w:tc>
          <w:tcPr>
            <w:tcW w:type="dxa" w:w="56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Hardware Asset data model is CMDB-compatible. Add CI relationship table and dependency graph — no core changes needed.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Service Catalogue</w:t>
            </w:r>
          </w:p>
        </w:tc>
        <w:tc>
          <w:tcPr>
            <w:tcW w:type="dxa" w:w="14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2</w:t>
            </w:r>
          </w:p>
        </w:tc>
        <w:tc>
          <w:tcPr>
            <w:tcW w:type="dxa" w:w="56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New module within existing structure; plugs into Ticket Service auto-routing engine.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Knowledge Base</w:t>
            </w:r>
          </w:p>
        </w:tc>
        <w:tc>
          <w:tcPr>
            <w:tcW w:type="dxa" w:w="14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2</w:t>
            </w:r>
          </w:p>
        </w:tc>
        <w:tc>
          <w:tcPr>
            <w:tcW w:type="dxa" w:w="56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Article module with PostgreSQL full-text or Elasticsearch; self-service deflection integrated into ESS portal.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Vendor Management</w:t>
            </w:r>
          </w:p>
        </w:tc>
        <w:tc>
          <w:tcPr>
            <w:tcW w:type="dxa" w:w="14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2</w:t>
            </w:r>
          </w:p>
        </w:tc>
        <w:tc>
          <w:tcPr>
            <w:tcW w:type="dxa" w:w="56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Vendor entity already in schema; dedicated module adds contract lifecycle, SLA scoring, and performance tracking.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Procurement Integration</w:t>
            </w:r>
          </w:p>
        </w:tc>
        <w:tc>
          <w:tcPr>
            <w:tcW w:type="dxa" w:w="14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3</w:t>
            </w:r>
          </w:p>
        </w:tc>
        <w:tc>
          <w:tcPr>
            <w:tcW w:type="dxa" w:w="56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ERP adapter in integrations layer; asset records auto-created from purchase order goods-receipt events.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AI Assistant / Chatbot</w:t>
            </w:r>
          </w:p>
        </w:tc>
        <w:tc>
          <w:tcPr>
            <w:tcW w:type="dxa" w:w="14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3</w:t>
            </w:r>
          </w:p>
        </w:tc>
        <w:tc>
          <w:tcPr>
            <w:tcW w:type="dxa" w:w="56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Stateless REST API supports AI gateway integration for intelligent ticket classification and auto-resolution suggestions.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Workflow Automation</w:t>
            </w:r>
          </w:p>
        </w:tc>
        <w:tc>
          <w:tcPr>
            <w:tcW w:type="dxa" w:w="14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3</w:t>
            </w:r>
          </w:p>
        </w:tc>
        <w:tc>
          <w:tcPr>
            <w:tcW w:type="dxa" w:w="56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Workflow Engine extended with no-code rule builder for escalation, routing, and approval flows.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Multi-Org / Subsidiary</w:t>
            </w:r>
          </w:p>
        </w:tc>
        <w:tc>
          <w:tcPr>
            <w:tcW w:type="dxa" w:w="14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3</w:t>
            </w:r>
          </w:p>
        </w:tc>
        <w:tc>
          <w:tcPr>
            <w:tcW w:type="dxa" w:w="56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tenant_id + org_id already in all tables; Spring @TenantContext row-level isolation; no schema migration required.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Govt. Digital Platform</w:t>
            </w:r>
          </w:p>
        </w:tc>
        <w:tc>
          <w:tcPr>
            <w:tcW w:type="dxa" w:w="14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Phase 4</w:t>
            </w:r>
          </w:p>
        </w:tc>
        <w:tc>
          <w:tcPr>
            <w:tcW w:type="dxa" w:w="56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OIDC/SAML 2.0 filter designed; connects to NIC SSO, DigiLocker, Aadhaar e-KYC without business logic changes.</w:t>
            </w:r>
          </w:p>
        </w:tc>
      </w:tr>
      <w:tr>
        <w:tc>
          <w:tcPr>
            <w:tcW w:type="dxa" w:w="22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Microservice Extraction</w:t>
            </w:r>
          </w:p>
        </w:tc>
        <w:tc>
          <w:tcPr>
            <w:tcW w:type="dxa" w:w="14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On-demand</w:t>
            </w:r>
          </w:p>
        </w:tc>
        <w:tc>
          <w:tcPr>
            <w:tcW w:type="dxa" w:w="56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Extract any module by exposing its RabbitMQ interface externally and pointing its JPA config to a dedicated schema.</w:t>
            </w:r>
          </w:p>
        </w:tc>
      </w:tr>
    </w:tbl>
    <w:p>
      <w:pPr>
        <w:spacing w:after="30" w:before="30"/>
      </w:pP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12. Development Readiness Checklist</w:t>
      </w:r>
    </w:p>
    <w:p>
      <w:pPr>
        <w:pBdr>
          <w:bottom w:val="single" w:color="2E5FA3" w:sz="4"/>
        </w:pBdr>
        <w:spacing w:after="70" w:before="50"/>
      </w:pPr>
    </w:p>
    <w:p>
      <w:pPr>
        <w:spacing w:after="55" w:before="55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All items below must be verified before the platform is considered production-ready:</w:t>
      </w:r>
    </w:p>
    <w:p>
      <w:pPr>
        <w:spacing w:after="30" w:before="3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620"/>
      </w:tblGrid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Readiness Item</w:t>
            </w:r>
          </w:p>
        </w:tc>
      </w:tr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01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Spring Boot 3 / Java 21 project scaffolded with all 11 module packages established and inter-module dependency rules enforced.</w:t>
            </w:r>
          </w:p>
        </w:tc>
      </w:tr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02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PostgreSQL schema created with tenant_id, org_id, and location_id present in all core domain tables from migration zero.</w:t>
            </w:r>
          </w:p>
        </w:tc>
      </w:tr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03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Active Directory / LDAP integration configured, tested, and verified against the NCL AD environment.</w:t>
            </w:r>
          </w:p>
        </w:tc>
      </w:tr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04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JWT issuance (RS256), refresh-token rotation, and Redis blacklist-based revocation implemented and load-tested.</w:t>
            </w:r>
          </w:p>
        </w:tc>
      </w:tr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05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RBAC permission matrix loaded, Redis-cached, and tested for all six roles across every protected endpoint.</w:t>
            </w:r>
          </w:p>
        </w:tc>
      </w:tr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06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RabbitMQ queues, exchanges, dead-letter exchange, and retry policy provisioned and verified.</w:t>
            </w:r>
          </w:p>
        </w:tc>
      </w:tr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07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OpenAPI / Swagger documentation auto-generated and accessible at /api/docs in dev and UAT environments.</w:t>
            </w:r>
          </w:p>
        </w:tc>
      </w:tr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08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Structured JSON logging with correlation ID middleware deployed and verified in all environments.</w:t>
            </w:r>
          </w:p>
        </w:tc>
      </w:tr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09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Spring Actuator liveness, readiness, and Prometheus metrics endpoints active and responding correctly.</w:t>
            </w:r>
          </w:p>
        </w:tc>
      </w:tr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10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Audit log append-only table, INSERT-only application role, and write-path verified with rejection tests.</w:t>
            </w:r>
          </w:p>
        </w:tc>
      </w:tr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11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File upload service with MIME validation, size enforcement, UUID naming, and download authorisation operational.</w:t>
            </w:r>
          </w:p>
        </w:tc>
      </w:tr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12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SLA tracking engine with escalation rule processor and auto-close timer verified against configured SLA thresholds.</w:t>
            </w:r>
          </w:p>
        </w:tc>
      </w:tr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13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Rate limiting (Bucket4j) and account lockout enforced and tested on all authentication endpoints.</w:t>
            </w:r>
          </w:p>
        </w:tc>
      </w:tr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14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All secrets externalized to environment variables or Vault — zero credentials in source code or config files.</w:t>
            </w:r>
          </w:p>
        </w:tc>
      </w:tr>
      <w:tr>
        <w:tc>
          <w:tcPr>
            <w:tcW w:type="dxa" w:w="64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15</w:t>
            </w:r>
          </w:p>
        </w:tc>
        <w:tc>
          <w:tcPr>
            <w:tcW w:type="dxa" w:w="862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Excel/CSV reconciliation engine tested against representative NCL asset data with duplicate-detection verified.</w:t>
            </w:r>
          </w:p>
        </w:tc>
      </w:tr>
    </w:tbl>
    <w:p>
      <w:r>
        <w:br w:type="page"/>
      </w:r>
    </w:p>
    <w:p>
      <w:pPr>
        <w:pStyle w:val="Heading1"/>
        <w:spacing w:after="8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Appendix A: Architecture Decision Records (ADRs)</w:t>
      </w:r>
    </w:p>
    <w:p>
      <w:pPr>
        <w:pBdr>
          <w:bottom w:val="single" w:color="2E5FA3" w:sz="4"/>
        </w:pBdr>
        <w:spacing w:after="70" w:before="5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900"/>
        <w:gridCol w:w="4960"/>
      </w:tblGrid>
      <w:tr>
        <w:tc>
          <w:tcPr>
            <w:tcW w:type="dxa" w:w="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ADR</w:t>
            </w:r>
          </w:p>
        </w:tc>
        <w:tc>
          <w:tcPr>
            <w:tcW w:type="dxa" w:w="16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4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1B3A6B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001</w:t>
            </w:r>
          </w:p>
        </w:tc>
        <w:tc>
          <w:tcPr>
            <w:tcW w:type="dxa" w:w="16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Backend Stack</w:t>
            </w:r>
          </w:p>
        </w:tc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Spring Boot 3 + Java 21</w:t>
            </w:r>
          </w:p>
        </w:tc>
        <w:tc>
          <w:tcPr>
            <w:tcW w:type="dxa" w:w="4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Enterprise LTS; virtual threads; largest Java developer pool in India; government-proven maturity.</w:t>
            </w:r>
          </w:p>
        </w:tc>
      </w:tr>
      <w:tr>
        <w:tc>
          <w:tcPr>
            <w:tcW w:type="dxa" w:w="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002</w:t>
            </w:r>
          </w:p>
        </w:tc>
        <w:tc>
          <w:tcPr>
            <w:tcW w:type="dxa" w:w="16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Modular Monolith</w:t>
            </w:r>
          </w:p>
        </w:tc>
        <w:tc>
          <w:tcPr>
            <w:tcW w:type="dxa" w:w="4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Prototype simplicity + clear microservice extraction path; DDD boundaries enforced from day one.</w:t>
            </w:r>
          </w:p>
        </w:tc>
      </w:tr>
      <w:tr>
        <w:tc>
          <w:tcPr>
            <w:tcW w:type="dxa" w:w="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003</w:t>
            </w:r>
          </w:p>
        </w:tc>
        <w:tc>
          <w:tcPr>
            <w:tcW w:type="dxa" w:w="16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Database</w:t>
            </w:r>
          </w:p>
        </w:tc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PostgreSQL 15</w:t>
            </w:r>
          </w:p>
        </w:tc>
        <w:tc>
          <w:tcPr>
            <w:tcW w:type="dxa" w:w="4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ACID compliance, JSONB, partitioning, full-text search; mature on-premise deployment.</w:t>
            </w:r>
          </w:p>
        </w:tc>
      </w:tr>
      <w:tr>
        <w:tc>
          <w:tcPr>
            <w:tcW w:type="dxa" w:w="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004</w:t>
            </w:r>
          </w:p>
        </w:tc>
        <w:tc>
          <w:tcPr>
            <w:tcW w:type="dxa" w:w="16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Messaging</w:t>
            </w:r>
          </w:p>
        </w:tc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RabbitMQ</w:t>
            </w:r>
          </w:p>
        </w:tc>
        <w:tc>
          <w:tcPr>
            <w:tcW w:type="dxa" w:w="4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Reliable async dispatch for notifications, imports, events; Kafka as high-volume future upgrade.</w:t>
            </w:r>
          </w:p>
        </w:tc>
      </w:tr>
      <w:tr>
        <w:tc>
          <w:tcPr>
            <w:tcW w:type="dxa" w:w="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005</w:t>
            </w:r>
          </w:p>
        </w:tc>
        <w:tc>
          <w:tcPr>
            <w:tcW w:type="dxa" w:w="16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Search</w:t>
            </w:r>
          </w:p>
        </w:tc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PostgreSQL → Elasticsearch</w:t>
            </w:r>
          </w:p>
        </w:tc>
        <w:tc>
          <w:tcPr>
            <w:tcW w:type="dxa" w:w="4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PostgreSQL full-text sufficient for prototype; Elasticsearch introduced at data-volume threshold.</w:t>
            </w:r>
          </w:p>
        </w:tc>
      </w:tr>
      <w:tr>
        <w:tc>
          <w:tcPr>
            <w:tcW w:type="dxa" w:w="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006</w:t>
            </w:r>
          </w:p>
        </w:tc>
        <w:tc>
          <w:tcPr>
            <w:tcW w:type="dxa" w:w="16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Auth</w:t>
            </w:r>
          </w:p>
        </w:tc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JWT (RS256) + AD/LDAP</w:t>
            </w:r>
          </w:p>
        </w:tc>
        <w:tc>
          <w:tcPr>
            <w:tcW w:type="dxa" w:w="4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EIS number as identity anchor; Spring Security LDAP; short-lived JWT; OIDC/SAML 2.0-ready.</w:t>
            </w:r>
          </w:p>
        </w:tc>
      </w:tr>
      <w:tr>
        <w:tc>
          <w:tcPr>
            <w:tcW w:type="dxa" w:w="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007</w:t>
            </w:r>
          </w:p>
        </w:tc>
        <w:tc>
          <w:tcPr>
            <w:tcW w:type="dxa" w:w="16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Multi-tenancy</w:t>
            </w:r>
          </w:p>
        </w:tc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Row-level discriminators</w:t>
            </w:r>
          </w:p>
        </w:tc>
        <w:tc>
          <w:tcPr>
            <w:tcW w:type="dxa" w:w="4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tenant_id/org_id/location_id in all tables from day one; no schema rework for subsidiaries.</w:t>
            </w:r>
          </w:p>
        </w:tc>
      </w:tr>
      <w:tr>
        <w:tc>
          <w:tcPr>
            <w:tcW w:type="dxa" w:w="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008</w:t>
            </w:r>
          </w:p>
        </w:tc>
        <w:tc>
          <w:tcPr>
            <w:tcW w:type="dxa" w:w="16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Audit</w:t>
            </w:r>
          </w:p>
        </w:tc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Append-only PostgreSQL table</w:t>
            </w:r>
          </w:p>
        </w:tc>
        <w:tc>
          <w:tcPr>
            <w:tcW w:type="dxa" w:w="4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INSERT-only; year-partitioned; immutability enforced at application and DB trigger level.</w:t>
            </w:r>
          </w:p>
        </w:tc>
      </w:tr>
      <w:tr>
        <w:tc>
          <w:tcPr>
            <w:tcW w:type="dxa" w:w="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009</w:t>
            </w:r>
          </w:p>
        </w:tc>
        <w:tc>
          <w:tcPr>
            <w:tcW w:type="dxa" w:w="16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File Storage</w:t>
            </w:r>
          </w:p>
        </w:tc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Local FS (Spring Resource)</w:t>
            </w:r>
          </w:p>
        </w:tc>
        <w:tc>
          <w:tcPr>
            <w:tcW w:type="dxa" w:w="4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On-premise constraint; MinIO/S3 migration requires only one storage-provider class swap.</w:t>
            </w:r>
          </w:p>
        </w:tc>
      </w:tr>
      <w:tr>
        <w:tc>
          <w:tcPr>
            <w:tcW w:type="dxa" w:w="8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010</w:t>
            </w:r>
          </w:p>
        </w:tc>
        <w:tc>
          <w:tcPr>
            <w:tcW w:type="dxa" w:w="16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Observability</w:t>
            </w:r>
          </w:p>
        </w:tc>
        <w:tc>
          <w:tcPr>
            <w:tcW w:type="dxa" w:w="190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Micrometer + Actuator</w:t>
            </w:r>
          </w:p>
        </w:tc>
        <w:tc>
          <w:tcPr>
            <w:tcW w:type="dxa" w:w="4960"/>
            <w:tcBorders>
              <w:top w:val="single" w:color="C0CEDF" w:sz="1"/>
              <w:left w:val="single" w:color="C0CEDF" w:sz="1"/>
              <w:bottom w:val="single" w:color="C0CEDF" w:sz="1"/>
              <w:right w:val="single" w:color="C0CEDF" w:sz="1"/>
            </w:tcBorders>
            <w:shd w:fill="F0F3F8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Prometheus-compatible metrics; health endpoints; Grafana dashboards; Zipkin tracing roadmap.</w:t>
            </w:r>
          </w:p>
        </w:tc>
      </w:tr>
    </w:tbl>
    <w:p>
      <w:pPr>
        <w:spacing w:after="30" w:before="30"/>
      </w:pPr>
    </w:p>
    <w:p>
      <w:pPr>
        <w:spacing w:after="30" w:before="30"/>
      </w:pPr>
    </w:p>
    <w:p>
      <w:pPr>
        <w:pBdr>
          <w:top w:val="single" w:color="2E5FA3" w:sz="4"/>
        </w:pBdr>
        <w:spacing w:after="40" w:before="80"/>
        <w:jc w:val="center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2E5FA3"/>
          <w:sz w:val="16"/>
          <w:szCs w:val="16"/>
        </w:rPr>
        <w:t xml:space="preserve">NCL ITSM Backend Blueprint v3.0  ·  Spring Boot 3 · Java 21 · PostgreSQL 15 · Redis 7 · RabbitMQ  ·  Internal — Restricted  ·  June 2026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/>
      </w:pBdr>
      <w:spacing w:after="0" w:before="60"/>
    </w:pPr>
    <w:r>
      <w:rPr>
        <w:rFonts w:ascii="Arial" w:cs="Arial" w:eastAsia="Arial" w:hAnsi="Arial"/>
        <w:color w:val="2E5FA3"/>
        <w:sz w:val="15"/>
        <w:szCs w:val="15"/>
      </w:rPr>
      <w:t xml:space="preserve">Northern Coalfields Limited — Confidential  ·  Page </w:t>
    </w:r>
    <w:r>
      <w:rPr>
        <w:rFonts w:ascii="Arial" w:cs="Arial" w:eastAsia="Arial" w:hAnsi="Arial"/>
        <w:color w:val="2E5FA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E5FA3"/>
        <w:sz w:val="15"/>
        <w:szCs w:val="15"/>
      </w:rPr>
      <w:t xml:space="preserve"> of </w:t>
    </w:r>
    <w:r>
      <w:rPr>
        <w:rFonts w:ascii="Arial" w:cs="Arial" w:eastAsia="Arial" w:hAnsi="Arial"/>
        <w:color w:val="2E5FA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/>
      </w:pBdr>
      <w:spacing w:after="60" w:before="0"/>
    </w:pPr>
    <w:r>
      <w:rPr>
        <w:rFonts w:ascii="Arial" w:cs="Arial" w:eastAsia="Arial" w:hAnsi="Arial"/>
        <w:color w:val="2E5FA3"/>
        <w:sz w:val="15"/>
        <w:szCs w:val="15"/>
      </w:rPr>
      <w:t xml:space="preserve">NCL ITSM Platform  ·  Backend Architecture Blueprint v3.0  ·  INTERNAL —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60"/>
      <w:outlineLvl w:val="0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2E5FA3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40" w:before="130"/>
      <w:outlineLvl w:val="2"/>
    </w:pPr>
    <w:rPr>
      <w:rFonts w:ascii="Arial" w:cs="Arial" w:eastAsia="Arial" w:hAnsi="Arial"/>
      <w:b/>
      <w:bCs/>
      <w:color w:val="1A6B5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2026-06-12T05:49:37.782Z</dcterms:created>
  <dcterms:modified xsi:type="dcterms:W3CDTF">2026-06-12T05:49:37.796Z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