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jc w:val="center"/>
      </w:pPr>
      <w:r>
        <w:rPr>
          <w:rFonts w:ascii="Times New Roman" w:hAnsi="Times New Roman"/>
          <w:b/>
          <w:i w:val="0"/>
          <w:color w:val="1B365D"/>
          <w:sz w:val="32"/>
        </w:rPr>
        <w:t>UNIVERSIDAD PRIVADA DE TACNA</w:t>
      </w:r>
    </w:p>
    <w:p>
      <w:pPr>
        <w:spacing w:before="0" w:after="60" w:line="276" w:lineRule="auto"/>
        <w:jc w:val="center"/>
      </w:pPr>
      <w:r>
        <w:rPr>
          <w:rFonts w:ascii="Times New Roman" w:hAnsi="Times New Roman"/>
          <w:b/>
          <w:i w:val="0"/>
          <w:color w:val="1B365D"/>
          <w:sz w:val="28"/>
        </w:rPr>
        <w:t>FACULTAD DE INGENIERÍA</w:t>
      </w:r>
    </w:p>
    <w:p>
      <w:pPr>
        <w:spacing w:before="0" w:after="360" w:line="276" w:lineRule="auto"/>
        <w:jc w:val="center"/>
      </w:pPr>
      <w:r>
        <w:rPr>
          <w:rFonts w:ascii="Times New Roman" w:hAnsi="Times New Roman"/>
          <w:b/>
          <w:i w:val="0"/>
          <w:color w:val="1B365D"/>
          <w:sz w:val="26"/>
        </w:rPr>
        <w:t>ESCUELA DE INGENIERÍA DE SISTEMAS</w:t>
      </w:r>
    </w:p>
    <w:p>
      <w:pPr>
        <w:spacing w:after="360"/>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image8.png"/>
                    <pic:cNvPicPr/>
                  </pic:nvPicPr>
                  <pic:blipFill>
                    <a:blip r:embed="rId9"/>
                    <a:stretch>
                      <a:fillRect/>
                    </a:stretch>
                  </pic:blipFill>
                  <pic:spPr>
                    <a:xfrm>
                      <a:off x="0" y="0"/>
                      <a:ext cx="2286000" cy="2286000"/>
                    </a:xfrm>
                    <a:prstGeom prst="rect"/>
                  </pic:spPr>
                </pic:pic>
              </a:graphicData>
            </a:graphic>
          </wp:inline>
        </w:drawing>
      </w:r>
    </w:p>
    <w:p>
      <w:pPr>
        <w:spacing w:before="0" w:after="80" w:line="276" w:lineRule="auto"/>
        <w:jc w:val="center"/>
      </w:pPr>
      <w:r>
        <w:rPr>
          <w:rFonts w:ascii="Times New Roman" w:hAnsi="Times New Roman"/>
          <w:b/>
          <w:i w:val="0"/>
          <w:color w:val="2C3E50"/>
          <w:sz w:val="26"/>
        </w:rPr>
        <w:t>Trabajo Práctico</w:t>
      </w:r>
    </w:p>
    <w:p>
      <w:pPr>
        <w:spacing w:before="0" w:after="480" w:line="276" w:lineRule="auto"/>
        <w:jc w:val="center"/>
      </w:pPr>
      <w:r>
        <w:rPr>
          <w:rFonts w:ascii="Times New Roman" w:hAnsi="Times New Roman"/>
          <w:b/>
          <w:i w:val="0"/>
          <w:color w:val="1B365D"/>
          <w:sz w:val="30"/>
        </w:rPr>
        <w:t>“APLICACIÓN DE ESTADÍSTICA INFERENCIAL CON DATOS REALES”</w:t>
      </w:r>
    </w:p>
    <w:p>
      <w:pPr>
        <w:spacing w:before="0" w:after="40" w:line="276" w:lineRule="auto"/>
        <w:jc w:val="center"/>
      </w:pPr>
      <w:r>
        <w:rPr>
          <w:rFonts w:ascii="Times New Roman" w:hAnsi="Times New Roman"/>
          <w:b w:val="0"/>
          <w:i/>
          <w:color w:val="222222"/>
          <w:sz w:val="22"/>
        </w:rPr>
        <w:t>Que se presenta para el curso:</w:t>
      </w:r>
    </w:p>
    <w:p>
      <w:pPr>
        <w:spacing w:before="0" w:after="360" w:line="276" w:lineRule="auto"/>
        <w:jc w:val="center"/>
      </w:pPr>
      <w:r>
        <w:rPr>
          <w:rFonts w:ascii="Times New Roman" w:hAnsi="Times New Roman"/>
          <w:b/>
          <w:i w:val="0"/>
          <w:color w:val="2C3E50"/>
          <w:sz w:val="25"/>
        </w:rPr>
        <w:t>ESTADÍSTICA INFERENCIAL</w:t>
      </w:r>
    </w:p>
    <w:p>
      <w:pPr>
        <w:spacing w:before="0" w:after="40" w:line="276" w:lineRule="auto"/>
        <w:jc w:val="center"/>
      </w:pPr>
      <w:r>
        <w:rPr>
          <w:rFonts w:ascii="Times New Roman" w:hAnsi="Times New Roman"/>
          <w:b/>
          <w:i w:val="0"/>
          <w:color w:val="222222"/>
          <w:sz w:val="22"/>
        </w:rPr>
        <w:t>Docente:</w:t>
      </w:r>
    </w:p>
    <w:p>
      <w:pPr>
        <w:spacing w:before="0" w:after="400" w:line="276" w:lineRule="auto"/>
        <w:jc w:val="center"/>
      </w:pPr>
      <w:r>
        <w:rPr>
          <w:rFonts w:ascii="Times New Roman" w:hAnsi="Times New Roman"/>
          <w:b/>
          <w:i w:val="0"/>
          <w:color w:val="222222"/>
          <w:sz w:val="24"/>
        </w:rPr>
        <w:t>LUIS ALFREDO FERNANDEZ VIZCARRA</w:t>
      </w:r>
    </w:p>
    <w:p>
      <w:pPr>
        <w:spacing w:before="0" w:after="80" w:line="276" w:lineRule="auto"/>
        <w:jc w:val="center"/>
      </w:pPr>
      <w:r>
        <w:rPr>
          <w:rFonts w:ascii="Times New Roman" w:hAnsi="Times New Roman"/>
          <w:b/>
          <w:i w:val="0"/>
          <w:color w:val="222222"/>
          <w:sz w:val="22"/>
        </w:rPr>
        <w:t>Integrantes:</w:t>
      </w:r>
    </w:p>
    <w:p>
      <w:pPr>
        <w:spacing w:before="0" w:after="40" w:line="276" w:lineRule="auto"/>
        <w:jc w:val="center"/>
      </w:pPr>
      <w:r>
        <w:rPr>
          <w:rFonts w:ascii="Times New Roman" w:hAnsi="Times New Roman"/>
          <w:b w:val="0"/>
          <w:i w:val="0"/>
          <w:color w:val="222222"/>
          <w:sz w:val="23"/>
        </w:rPr>
        <w:t>Arocutipa Arocutipa, Gian Franco  (2023076790)</w:t>
      </w:r>
    </w:p>
    <w:p>
      <w:pPr>
        <w:spacing w:before="0" w:after="40" w:line="276" w:lineRule="auto"/>
        <w:jc w:val="center"/>
      </w:pPr>
      <w:r>
        <w:rPr>
          <w:rFonts w:ascii="Times New Roman" w:hAnsi="Times New Roman"/>
          <w:b w:val="0"/>
          <w:i w:val="0"/>
          <w:color w:val="222222"/>
          <w:sz w:val="23"/>
        </w:rPr>
        <w:t>Perez Peralta, Fabrizio Salvador Elias  (2023077476)</w:t>
      </w:r>
    </w:p>
    <w:p>
      <w:pPr>
        <w:spacing w:before="0" w:after="520" w:line="276" w:lineRule="auto"/>
        <w:jc w:val="center"/>
      </w:pPr>
      <w:r>
        <w:rPr>
          <w:rFonts w:ascii="Times New Roman" w:hAnsi="Times New Roman"/>
          <w:b w:val="0"/>
          <w:i w:val="0"/>
          <w:color w:val="222222"/>
          <w:sz w:val="23"/>
        </w:rPr>
        <w:t>LLica Mamani, Jimmy Mijair  (2023076789)</w:t>
      </w:r>
    </w:p>
    <w:p>
      <w:pPr>
        <w:spacing w:before="0" w:after="40" w:line="276" w:lineRule="auto"/>
        <w:jc w:val="center"/>
      </w:pPr>
      <w:r>
        <w:rPr>
          <w:rFonts w:ascii="Times New Roman" w:hAnsi="Times New Roman"/>
          <w:b/>
          <w:i w:val="0"/>
          <w:color w:val="222222"/>
          <w:sz w:val="24"/>
        </w:rPr>
        <w:t>TACNA – PERÚ</w:t>
      </w:r>
    </w:p>
    <w:p>
      <w:pPr>
        <w:spacing w:before="0" w:after="240" w:line="276" w:lineRule="auto"/>
        <w:jc w:val="center"/>
      </w:pPr>
      <w:r>
        <w:rPr>
          <w:rFonts w:ascii="Times New Roman" w:hAnsi="Times New Roman"/>
          <w:b/>
          <w:i w:val="0"/>
          <w:color w:val="222222"/>
          <w:sz w:val="24"/>
        </w:rPr>
        <w:t>2026</w:t>
      </w:r>
    </w:p>
    <w:p>
      <w:r>
        <w:br w:type="page"/>
      </w:r>
    </w:p>
    <w:p>
      <w:pPr>
        <w:spacing w:before="200" w:after="320" w:line="276" w:lineRule="auto"/>
        <w:jc w:val="center"/>
      </w:pPr>
      <w:r>
        <w:rPr>
          <w:rFonts w:ascii="Times New Roman" w:hAnsi="Times New Roman"/>
          <w:b/>
          <w:i w:val="0"/>
          <w:color w:val="1B365D"/>
          <w:sz w:val="32"/>
        </w:rPr>
        <w:t>Índice General</w:t>
      </w:r>
    </w:p>
    <w:p>
      <w:pPr>
        <w:spacing w:before="20" w:after="40" w:line="276" w:lineRule="auto"/>
      </w:pPr>
      <w:r>
        <w:rPr>
          <w:rFonts w:ascii="Times New Roman" w:hAnsi="Times New Roman"/>
          <w:b/>
          <w:color w:val="1B365D"/>
          <w:sz w:val="21"/>
        </w:rPr>
        <w:t>1. Descripción del dataset</w:t>
      </w:r>
    </w:p>
    <w:p>
      <w:pPr>
        <w:spacing w:before="20" w:after="40" w:line="276" w:lineRule="auto"/>
      </w:pPr>
      <w:r>
        <w:rPr>
          <w:rFonts w:ascii="Times New Roman" w:hAnsi="Times New Roman"/>
          <w:b/>
          <w:color w:val="1B365D"/>
          <w:sz w:val="21"/>
        </w:rPr>
        <w:t>2. Planteamiento del análisis</w:t>
      </w:r>
    </w:p>
    <w:p>
      <w:pPr>
        <w:spacing w:before="20" w:after="40" w:line="276" w:lineRule="auto"/>
      </w:pPr>
      <w:r>
        <w:rPr>
          <w:rFonts w:ascii="Times New Roman" w:hAnsi="Times New Roman"/>
          <w:color w:val="222222"/>
          <w:sz w:val="21"/>
        </w:rPr>
        <w:t xml:space="preserve">   2.1 Contexto y planteamiento del problema</w:t>
      </w:r>
    </w:p>
    <w:p>
      <w:pPr>
        <w:spacing w:before="20" w:after="40" w:line="276" w:lineRule="auto"/>
      </w:pPr>
      <w:r>
        <w:rPr>
          <w:rFonts w:ascii="Times New Roman" w:hAnsi="Times New Roman"/>
          <w:color w:val="222222"/>
          <w:sz w:val="21"/>
        </w:rPr>
        <w:t xml:space="preserve">   2.2 Preguntas de investigación (Q1 - Q5)</w:t>
      </w:r>
    </w:p>
    <w:p>
      <w:pPr>
        <w:spacing w:before="20" w:after="40" w:line="276" w:lineRule="auto"/>
      </w:pPr>
      <w:r>
        <w:rPr>
          <w:rFonts w:ascii="Times New Roman" w:hAnsi="Times New Roman"/>
          <w:color w:val="222222"/>
          <w:sz w:val="21"/>
        </w:rPr>
        <w:t xml:space="preserve">   2.3 Identificación y justificación de variables</w:t>
      </w:r>
    </w:p>
    <w:p>
      <w:pPr>
        <w:spacing w:before="20" w:after="40" w:line="276" w:lineRule="auto"/>
      </w:pPr>
      <w:r>
        <w:rPr>
          <w:rFonts w:ascii="Times New Roman" w:hAnsi="Times New Roman"/>
          <w:b/>
          <w:color w:val="1B365D"/>
          <w:sz w:val="21"/>
        </w:rPr>
        <w:t>3. Análisis descriptivo y estimación</w:t>
      </w:r>
    </w:p>
    <w:p>
      <w:pPr>
        <w:spacing w:before="20" w:after="40" w:line="276" w:lineRule="auto"/>
      </w:pPr>
      <w:r>
        <w:rPr>
          <w:rFonts w:ascii="Times New Roman" w:hAnsi="Times New Roman"/>
          <w:color w:val="222222"/>
          <w:sz w:val="21"/>
        </w:rPr>
        <w:t xml:space="preserve">   3.1 Estadísticos descriptivos generales</w:t>
      </w:r>
    </w:p>
    <w:p>
      <w:pPr>
        <w:spacing w:before="20" w:after="40" w:line="276" w:lineRule="auto"/>
      </w:pPr>
      <w:r>
        <w:rPr>
          <w:rFonts w:ascii="Times New Roman" w:hAnsi="Times New Roman"/>
          <w:color w:val="222222"/>
          <w:sz w:val="21"/>
        </w:rPr>
        <w:t xml:space="preserve">   3.2 Asimetría, curtosis y forma de las distribuciones</w:t>
      </w:r>
    </w:p>
    <w:p>
      <w:pPr>
        <w:spacing w:before="20" w:after="40" w:line="276" w:lineRule="auto"/>
      </w:pPr>
      <w:r>
        <w:rPr>
          <w:rFonts w:ascii="Times New Roman" w:hAnsi="Times New Roman"/>
          <w:color w:val="222222"/>
          <w:sz w:val="21"/>
        </w:rPr>
        <w:t xml:space="preserve">   3.3 Estimación puntual de parámetros poblacionales</w:t>
      </w:r>
    </w:p>
    <w:p>
      <w:pPr>
        <w:spacing w:before="20" w:after="40" w:line="276" w:lineRule="auto"/>
      </w:pPr>
      <w:r>
        <w:rPr>
          <w:rFonts w:ascii="Times New Roman" w:hAnsi="Times New Roman"/>
          <w:color w:val="222222"/>
          <w:sz w:val="21"/>
        </w:rPr>
        <w:t xml:space="preserve">   3.4 Intervalos de confianza al 95 % para la media</w:t>
      </w:r>
    </w:p>
    <w:p>
      <w:pPr>
        <w:spacing w:before="20" w:after="40" w:line="276" w:lineRule="auto"/>
      </w:pPr>
      <w:r>
        <w:rPr>
          <w:rFonts w:ascii="Times New Roman" w:hAnsi="Times New Roman"/>
          <w:color w:val="222222"/>
          <w:sz w:val="21"/>
        </w:rPr>
        <w:t xml:space="preserve">   3.5 Intervalos de confianza para proporciones</w:t>
      </w:r>
    </w:p>
    <w:p>
      <w:pPr>
        <w:spacing w:before="20" w:after="40" w:line="276" w:lineRule="auto"/>
      </w:pPr>
      <w:r>
        <w:rPr>
          <w:rFonts w:ascii="Times New Roman" w:hAnsi="Times New Roman"/>
          <w:b/>
          <w:color w:val="1B365D"/>
          <w:sz w:val="21"/>
        </w:rPr>
        <w:t>4. Verificación de supuestos</w:t>
      </w:r>
    </w:p>
    <w:p>
      <w:pPr>
        <w:spacing w:before="20" w:after="40" w:line="276" w:lineRule="auto"/>
      </w:pPr>
      <w:r>
        <w:rPr>
          <w:rFonts w:ascii="Times New Roman" w:hAnsi="Times New Roman"/>
          <w:color w:val="222222"/>
          <w:sz w:val="21"/>
        </w:rPr>
        <w:t xml:space="preserve">   4.1 El supuesto de distribución normal y el Teorema del Límite Central</w:t>
      </w:r>
    </w:p>
    <w:p>
      <w:pPr>
        <w:spacing w:before="20" w:after="40" w:line="276" w:lineRule="auto"/>
      </w:pPr>
      <w:r>
        <w:rPr>
          <w:rFonts w:ascii="Times New Roman" w:hAnsi="Times New Roman"/>
          <w:color w:val="222222"/>
          <w:sz w:val="21"/>
        </w:rPr>
        <w:t xml:space="preserve">   4.2 Pruebas de normalidad mediante Shapiro–Wilk</w:t>
      </w:r>
    </w:p>
    <w:p>
      <w:pPr>
        <w:spacing w:before="20" w:after="40" w:line="276" w:lineRule="auto"/>
      </w:pPr>
      <w:r>
        <w:rPr>
          <w:rFonts w:ascii="Times New Roman" w:hAnsi="Times New Roman"/>
          <w:color w:val="222222"/>
          <w:sz w:val="21"/>
        </w:rPr>
        <w:t xml:space="preserve">   4.3 Evaluación de homogeneidad de varianzas mediante la prueba de Levene</w:t>
      </w:r>
    </w:p>
    <w:p>
      <w:pPr>
        <w:spacing w:before="20" w:after="40" w:line="276" w:lineRule="auto"/>
      </w:pPr>
      <w:r>
        <w:rPr>
          <w:rFonts w:ascii="Times New Roman" w:hAnsi="Times New Roman"/>
          <w:b/>
          <w:color w:val="1B365D"/>
          <w:sz w:val="21"/>
        </w:rPr>
        <w:t>5. Prueba de hipótesis para una muestra</w:t>
      </w:r>
    </w:p>
    <w:p>
      <w:pPr>
        <w:spacing w:before="20" w:after="40" w:line="276" w:lineRule="auto"/>
      </w:pPr>
      <w:r>
        <w:rPr>
          <w:rFonts w:ascii="Times New Roman" w:hAnsi="Times New Roman"/>
          <w:color w:val="222222"/>
          <w:sz w:val="21"/>
        </w:rPr>
        <w:t xml:space="preserve">   5.1 Pregunta de investigación y formulación de hipótesis</w:t>
      </w:r>
    </w:p>
    <w:p>
      <w:pPr>
        <w:spacing w:before="20" w:after="40" w:line="276" w:lineRule="auto"/>
      </w:pPr>
      <w:r>
        <w:rPr>
          <w:rFonts w:ascii="Times New Roman" w:hAnsi="Times New Roman"/>
          <w:color w:val="222222"/>
          <w:sz w:val="21"/>
        </w:rPr>
        <w:t xml:space="preserve">   5.2 Nivel de significancia y verificación de supuestos</w:t>
      </w:r>
    </w:p>
    <w:p>
      <w:pPr>
        <w:spacing w:before="20" w:after="40" w:line="276" w:lineRule="auto"/>
      </w:pPr>
      <w:r>
        <w:rPr>
          <w:rFonts w:ascii="Times New Roman" w:hAnsi="Times New Roman"/>
          <w:color w:val="222222"/>
          <w:sz w:val="21"/>
        </w:rPr>
        <w:t xml:space="preserve">   5.3 Selección de la prueba estadística</w:t>
      </w:r>
    </w:p>
    <w:p>
      <w:pPr>
        <w:spacing w:before="20" w:after="40" w:line="276" w:lineRule="auto"/>
      </w:pPr>
      <w:r>
        <w:rPr>
          <w:rFonts w:ascii="Times New Roman" w:hAnsi="Times New Roman"/>
          <w:color w:val="222222"/>
          <w:sz w:val="21"/>
        </w:rPr>
        <w:t xml:space="preserve">   5.4 Presentación de resultados y p-valor en SPSS</w:t>
      </w:r>
    </w:p>
    <w:p>
      <w:pPr>
        <w:spacing w:before="20" w:after="40" w:line="276" w:lineRule="auto"/>
      </w:pPr>
      <w:r>
        <w:rPr>
          <w:rFonts w:ascii="Times New Roman" w:hAnsi="Times New Roman"/>
          <w:color w:val="222222"/>
          <w:sz w:val="21"/>
        </w:rPr>
        <w:t xml:space="preserve">   5.5 Decisión estadística e interpretación contextual</w:t>
      </w:r>
    </w:p>
    <w:p>
      <w:pPr>
        <w:spacing w:before="20" w:after="40" w:line="276" w:lineRule="auto"/>
      </w:pPr>
      <w:r>
        <w:rPr>
          <w:rFonts w:ascii="Times New Roman" w:hAnsi="Times New Roman"/>
          <w:color w:val="222222"/>
          <w:sz w:val="21"/>
        </w:rPr>
        <w:t xml:space="preserve">   5.6 Tamaño del efecto (d de Cohen y corrección de Hedges)</w:t>
      </w:r>
    </w:p>
    <w:p>
      <w:pPr>
        <w:spacing w:before="20" w:after="40" w:line="276" w:lineRule="auto"/>
      </w:pPr>
      <w:r>
        <w:rPr>
          <w:rFonts w:ascii="Times New Roman" w:hAnsi="Times New Roman"/>
          <w:color w:val="222222"/>
          <w:sz w:val="21"/>
        </w:rPr>
        <w:t xml:space="preserve">   5.7 Análisis complementario con valor de referencia 5000 estrellas</w:t>
      </w:r>
    </w:p>
    <w:p>
      <w:pPr>
        <w:spacing w:before="20" w:after="40" w:line="276" w:lineRule="auto"/>
      </w:pPr>
      <w:r>
        <w:rPr>
          <w:rFonts w:ascii="Times New Roman" w:hAnsi="Times New Roman"/>
          <w:b/>
          <w:color w:val="1B365D"/>
          <w:sz w:val="21"/>
        </w:rPr>
        <w:t>6. Comparación de promedios entre dos grupos independientes</w:t>
      </w:r>
    </w:p>
    <w:p>
      <w:pPr>
        <w:spacing w:before="20" w:after="40" w:line="276" w:lineRule="auto"/>
      </w:pPr>
      <w:r>
        <w:rPr>
          <w:rFonts w:ascii="Times New Roman" w:hAnsi="Times New Roman"/>
          <w:color w:val="222222"/>
          <w:sz w:val="21"/>
        </w:rPr>
        <w:t xml:space="preserve">   6.1 Comparación principal de ln_forks_1 según Tipo de Propietario (Organization vs. User)</w:t>
      </w:r>
    </w:p>
    <w:p>
      <w:pPr>
        <w:spacing w:before="20" w:after="40" w:line="276" w:lineRule="auto"/>
      </w:pPr>
      <w:r>
        <w:rPr>
          <w:rFonts w:ascii="Times New Roman" w:hAnsi="Times New Roman"/>
          <w:color w:val="222222"/>
          <w:sz w:val="21"/>
        </w:rPr>
        <w:t xml:space="preserve">   6.2 Comparación multidimensional complementaria: Organization vs. User</w:t>
      </w:r>
    </w:p>
    <w:p>
      <w:pPr>
        <w:spacing w:before="20" w:after="40" w:line="276" w:lineRule="auto"/>
      </w:pPr>
      <w:r>
        <w:rPr>
          <w:rFonts w:ascii="Times New Roman" w:hAnsi="Times New Roman"/>
          <w:color w:val="222222"/>
          <w:sz w:val="21"/>
        </w:rPr>
        <w:t xml:space="preserve">   6.3 Comparación secundaria según Tipo de Licencia: MIT vs. Apache-2.0</w:t>
      </w:r>
    </w:p>
    <w:p>
      <w:pPr>
        <w:spacing w:before="20" w:after="40" w:line="276" w:lineRule="auto"/>
      </w:pPr>
      <w:r>
        <w:rPr>
          <w:rFonts w:ascii="Times New Roman" w:hAnsi="Times New Roman"/>
          <w:color w:val="222222"/>
          <w:sz w:val="21"/>
        </w:rPr>
        <w:t xml:space="preserve">   6.4 Significancia estadística frente a significancia práctica y limitaciones</w:t>
      </w:r>
    </w:p>
    <w:p>
      <w:pPr>
        <w:spacing w:before="20" w:after="40" w:line="276" w:lineRule="auto"/>
      </w:pPr>
      <w:r>
        <w:rPr>
          <w:rFonts w:ascii="Times New Roman" w:hAnsi="Times New Roman"/>
          <w:b/>
          <w:color w:val="1B365D"/>
          <w:sz w:val="21"/>
        </w:rPr>
        <w:t>7. Comparación de promedios en muestras relacionadas (antes–después / mediciones sobre las mismas unidades)</w:t>
      </w:r>
    </w:p>
    <w:p>
      <w:pPr>
        <w:spacing w:before="20" w:after="40" w:line="276" w:lineRule="auto"/>
      </w:pPr>
      <w:r>
        <w:rPr>
          <w:rFonts w:ascii="Times New Roman" w:hAnsi="Times New Roman"/>
          <w:color w:val="222222"/>
          <w:sz w:val="21"/>
        </w:rPr>
        <w:t xml:space="preserve">   7.1 Justificación metodológica y emparejamiento de las unidades</w:t>
      </w:r>
    </w:p>
    <w:p>
      <w:pPr>
        <w:spacing w:before="20" w:after="40" w:line="276" w:lineRule="auto"/>
      </w:pPr>
      <w:r>
        <w:rPr>
          <w:rFonts w:ascii="Times New Roman" w:hAnsi="Times New Roman"/>
          <w:color w:val="222222"/>
          <w:sz w:val="21"/>
        </w:rPr>
        <w:t xml:space="preserve">   7.2 Pregunta de investigación y formulación de hipótesis</w:t>
      </w:r>
    </w:p>
    <w:p>
      <w:pPr>
        <w:spacing w:before="20" w:after="40" w:line="276" w:lineRule="auto"/>
      </w:pPr>
      <w:r>
        <w:rPr>
          <w:rFonts w:ascii="Times New Roman" w:hAnsi="Times New Roman"/>
          <w:color w:val="222222"/>
          <w:sz w:val="21"/>
        </w:rPr>
        <w:t xml:space="preserve">   7.3 Cálculo de diferencias emparejadas y verificación de normalidad</w:t>
      </w:r>
    </w:p>
    <w:p>
      <w:pPr>
        <w:spacing w:before="20" w:after="40" w:line="276" w:lineRule="auto"/>
      </w:pPr>
      <w:r>
        <w:rPr>
          <w:rFonts w:ascii="Times New Roman" w:hAnsi="Times New Roman"/>
          <w:color w:val="222222"/>
          <w:sz w:val="21"/>
        </w:rPr>
        <w:t xml:space="preserve">   7.4 Aplicación de la prueba t para muestras relacionadas en SPSS</w:t>
      </w:r>
    </w:p>
    <w:p>
      <w:pPr>
        <w:spacing w:before="20" w:after="40" w:line="276" w:lineRule="auto"/>
      </w:pPr>
      <w:r>
        <w:rPr>
          <w:rFonts w:ascii="Times New Roman" w:hAnsi="Times New Roman"/>
          <w:color w:val="222222"/>
          <w:sz w:val="21"/>
        </w:rPr>
        <w:t xml:space="preserve">   7.5 Decisión estadística, tamaño del efecto e interpretación en Ingeniería de Sistemas</w:t>
      </w:r>
    </w:p>
    <w:p>
      <w:pPr>
        <w:spacing w:before="20" w:after="40" w:line="276" w:lineRule="auto"/>
      </w:pPr>
      <w:r>
        <w:rPr>
          <w:rFonts w:ascii="Times New Roman" w:hAnsi="Times New Roman"/>
          <w:b/>
          <w:color w:val="1B365D"/>
          <w:sz w:val="21"/>
        </w:rPr>
        <w:t>8. Análisis de Varianza (ANOVA) para tres o más grupos independientes</w:t>
      </w:r>
    </w:p>
    <w:p>
      <w:pPr>
        <w:spacing w:before="20" w:after="40" w:line="276" w:lineRule="auto"/>
      </w:pPr>
      <w:r>
        <w:rPr>
          <w:rFonts w:ascii="Times New Roman" w:hAnsi="Times New Roman"/>
          <w:color w:val="222222"/>
          <w:sz w:val="21"/>
        </w:rPr>
        <w:t xml:space="preserve">   8.1 Planteamiento y definición de variables dependiente y factor</w:t>
      </w:r>
    </w:p>
    <w:p>
      <w:pPr>
        <w:spacing w:before="20" w:after="40" w:line="276" w:lineRule="auto"/>
      </w:pPr>
      <w:r>
        <w:rPr>
          <w:rFonts w:ascii="Times New Roman" w:hAnsi="Times New Roman"/>
          <w:color w:val="222222"/>
          <w:sz w:val="21"/>
        </w:rPr>
        <w:t xml:space="preserve">   8.2 Pregunta de investigación y formulación de hipótesis</w:t>
      </w:r>
    </w:p>
    <w:p>
      <w:pPr>
        <w:spacing w:before="20" w:after="40" w:line="276" w:lineRule="auto"/>
      </w:pPr>
      <w:r>
        <w:rPr>
          <w:rFonts w:ascii="Times New Roman" w:hAnsi="Times New Roman"/>
          <w:color w:val="222222"/>
          <w:sz w:val="21"/>
        </w:rPr>
        <w:t xml:space="preserve">   8.3 Estadísticos descriptivos por grupo de licencia (MIT, Apache-2.0, GPL-3.0)</w:t>
      </w:r>
    </w:p>
    <w:p>
      <w:pPr>
        <w:spacing w:before="20" w:after="40" w:line="276" w:lineRule="auto"/>
      </w:pPr>
      <w:r>
        <w:rPr>
          <w:rFonts w:ascii="Times New Roman" w:hAnsi="Times New Roman"/>
          <w:color w:val="222222"/>
          <w:sz w:val="21"/>
        </w:rPr>
        <w:t xml:space="preserve">   8.4 Verificación de supuestos: Normalidad y Homogeneidad de Varianzas (Levene)</w:t>
      </w:r>
    </w:p>
    <w:p>
      <w:pPr>
        <w:spacing w:before="20" w:after="40" w:line="276" w:lineRule="auto"/>
      </w:pPr>
      <w:r>
        <w:rPr>
          <w:rFonts w:ascii="Times New Roman" w:hAnsi="Times New Roman"/>
          <w:color w:val="222222"/>
          <w:sz w:val="21"/>
        </w:rPr>
        <w:t xml:space="preserve">   8.5 Aplicación del ANOVA de un factor y prueba robusta de Welch</w:t>
      </w:r>
    </w:p>
    <w:p>
      <w:pPr>
        <w:spacing w:before="20" w:after="40" w:line="276" w:lineRule="auto"/>
      </w:pPr>
      <w:r>
        <w:rPr>
          <w:rFonts w:ascii="Times New Roman" w:hAnsi="Times New Roman"/>
          <w:color w:val="222222"/>
          <w:sz w:val="21"/>
        </w:rPr>
        <w:t xml:space="preserve">   8.6 Estadístico F, p-valor, tamaños de efecto y decisión estadística</w:t>
      </w:r>
    </w:p>
    <w:p>
      <w:pPr>
        <w:spacing w:before="20" w:after="40" w:line="276" w:lineRule="auto"/>
      </w:pPr>
      <w:r>
        <w:rPr>
          <w:rFonts w:ascii="Times New Roman" w:hAnsi="Times New Roman"/>
          <w:color w:val="222222"/>
          <w:sz w:val="21"/>
        </w:rPr>
        <w:t xml:space="preserve">   8.7 Interpretación del resultado en el contexto del software</w:t>
      </w:r>
    </w:p>
    <w:p>
      <w:pPr>
        <w:spacing w:before="20" w:after="40" w:line="276" w:lineRule="auto"/>
      </w:pPr>
      <w:r>
        <w:rPr>
          <w:rFonts w:ascii="Times New Roman" w:hAnsi="Times New Roman"/>
          <w:b/>
          <w:color w:val="1B365D"/>
          <w:sz w:val="21"/>
        </w:rPr>
        <w:t>9. Pruebas Post Hoc: Tukey o Games-Howell según corresponda</w:t>
      </w:r>
    </w:p>
    <w:p>
      <w:pPr>
        <w:spacing w:before="20" w:after="40" w:line="276" w:lineRule="auto"/>
      </w:pPr>
      <w:r>
        <w:rPr>
          <w:rFonts w:ascii="Times New Roman" w:hAnsi="Times New Roman"/>
          <w:color w:val="222222"/>
          <w:sz w:val="21"/>
        </w:rPr>
        <w:t xml:space="preserve">   9.1 Criterio de selección y justificación de la prueba Post Hoc</w:t>
      </w:r>
    </w:p>
    <w:p>
      <w:pPr>
        <w:spacing w:before="20" w:after="40" w:line="276" w:lineRule="auto"/>
      </w:pPr>
      <w:r>
        <w:rPr>
          <w:rFonts w:ascii="Times New Roman" w:hAnsi="Times New Roman"/>
          <w:color w:val="222222"/>
          <w:sz w:val="21"/>
        </w:rPr>
        <w:t xml:space="preserve">   9.2 Comparaciones múltiples por pares (HSD Tukey)</w:t>
      </w:r>
    </w:p>
    <w:p>
      <w:pPr>
        <w:spacing w:before="20" w:after="40" w:line="276" w:lineRule="auto"/>
      </w:pPr>
      <w:r>
        <w:rPr>
          <w:rFonts w:ascii="Times New Roman" w:hAnsi="Times New Roman"/>
          <w:color w:val="222222"/>
          <w:sz w:val="21"/>
        </w:rPr>
        <w:t xml:space="preserve">   9.3 Diferencias de medias, errores estándar y p-valores ajustados</w:t>
      </w:r>
    </w:p>
    <w:p>
      <w:pPr>
        <w:spacing w:before="20" w:after="40" w:line="276" w:lineRule="auto"/>
      </w:pPr>
      <w:r>
        <w:rPr>
          <w:rFonts w:ascii="Times New Roman" w:hAnsi="Times New Roman"/>
          <w:color w:val="222222"/>
          <w:sz w:val="21"/>
        </w:rPr>
        <w:t xml:space="preserve">   9.4 Análisis de subconjuntos homogéneos</w:t>
      </w:r>
    </w:p>
    <w:p>
      <w:pPr>
        <w:spacing w:before="20" w:after="40" w:line="276" w:lineRule="auto"/>
      </w:pPr>
      <w:r>
        <w:rPr>
          <w:rFonts w:ascii="Times New Roman" w:hAnsi="Times New Roman"/>
          <w:color w:val="222222"/>
          <w:sz w:val="21"/>
        </w:rPr>
        <w:t xml:space="preserve">   9.5 Interpretación contextual en Ingeniería de Software</w:t>
      </w:r>
    </w:p>
    <w:p>
      <w:pPr>
        <w:spacing w:before="20" w:after="40" w:line="276" w:lineRule="auto"/>
      </w:pPr>
      <w:r>
        <w:rPr>
          <w:rFonts w:ascii="Times New Roman" w:hAnsi="Times New Roman"/>
          <w:b/>
          <w:color w:val="1B365D"/>
          <w:sz w:val="21"/>
        </w:rPr>
        <w:t>10. Conclusiones</w:t>
      </w:r>
    </w:p>
    <w:p>
      <w:pPr>
        <w:spacing w:before="20" w:after="40" w:line="276" w:lineRule="auto"/>
      </w:pPr>
      <w:r>
        <w:rPr>
          <w:rFonts w:ascii="Times New Roman" w:hAnsi="Times New Roman"/>
          <w:b/>
          <w:color w:val="1B365D"/>
          <w:sz w:val="21"/>
        </w:rPr>
        <w:t>11. Referencias y fuentes de datos</w:t>
      </w:r>
    </w:p>
    <w:p>
      <w:r>
        <w:br w:type="page"/>
      </w:r>
    </w:p>
    <w:p>
      <w:pPr>
        <w:keepNext/>
        <w:spacing w:before="320" w:after="120"/>
        <w:jc w:val="left"/>
      </w:pPr>
      <w:r>
        <w:rPr>
          <w:rFonts w:ascii="Times New Roman" w:hAnsi="Times New Roman"/>
          <w:b/>
          <w:color w:val="1B365D"/>
          <w:sz w:val="28"/>
        </w:rPr>
        <w:t>1. Descripción del dataset</w:t>
      </w:r>
    </w:p>
    <w:p>
      <w:pPr>
        <w:spacing w:before="0" w:after="120" w:line="276" w:lineRule="auto"/>
        <w:jc w:val="both"/>
      </w:pPr>
      <w:r>
        <w:rPr>
          <w:rFonts w:ascii="Times New Roman" w:hAnsi="Times New Roman"/>
          <w:b w:val="0"/>
          <w:i w:val="0"/>
          <w:color w:val="222222"/>
          <w:sz w:val="24"/>
        </w:rPr>
        <w:t>El presente informe práctico de estadística inferencial se desarrolla a partir del conjunto de datos real titulado “GitHub Repositories – Heterogeneous Data”, extraído de la plataforma abierta Kaggle Datasets (disponible públicamente en https://www.kaggle.com/datasets). Este repositorio alberga información cuantitativa y cualitativa exhaustiva sobre el ecosistema de desarrollo de software libre a nivel global, constituyendo una fuente fidedigna y de alta relevancia empírica para el campo de la Ingeniería de Sistemas y las Ciencias de la Computación.</w:t>
      </w:r>
    </w:p>
    <w:p>
      <w:pPr>
        <w:spacing w:before="0" w:after="120" w:line="276" w:lineRule="auto"/>
        <w:jc w:val="both"/>
      </w:pPr>
      <w:r>
        <w:rPr>
          <w:rFonts w:ascii="Times New Roman" w:hAnsi="Times New Roman"/>
          <w:b w:val="0"/>
          <w:i w:val="0"/>
          <w:color w:val="222222"/>
          <w:sz w:val="24"/>
        </w:rPr>
        <w:t>El dataset bruto original contiene 66 641 registros heterogéneos estructurados en múltiples entidades relacionales (elementos de repositorio, contribuidores, lanzamientos de versiones, lenguajes de programación, temas y perfiles de usuarios). Para los fines del presente estudio y en concordancia estricta con las directivas metodológicas del curso, se seleccionó el subconjunto homogéneo de registros de tipo RepositoryItem correspondientes a proyectos de código abierto cuyo lenguaje principal es Python, totalizando una muestra representativa de n = 1567 repositorios de software independientes.</w:t>
      </w:r>
    </w:p>
    <w:p>
      <w:pPr>
        <w:keepNext/>
        <w:spacing w:before="240" w:after="80"/>
        <w:jc w:val="left"/>
      </w:pPr>
      <w:r>
        <w:rPr>
          <w:rFonts w:ascii="Times New Roman" w:hAnsi="Times New Roman"/>
          <w:b/>
          <w:color w:val="2C3E50"/>
          <w:sz w:val="25"/>
        </w:rPr>
        <w:t>Variables seleccionadas para el estudio:</w:t>
      </w:r>
    </w:p>
    <w:p>
      <w:pPr>
        <w:spacing w:before="40" w:after="80" w:line="276" w:lineRule="auto"/>
      </w:pPr>
      <w:r>
        <w:rPr>
          <w:rFonts w:ascii="Times New Roman" w:hAnsi="Times New Roman"/>
          <w:b/>
          <w:color w:val="2C3E50"/>
          <w:sz w:val="22"/>
        </w:rPr>
        <w:t>• stars (Cuantitativa discreta / continua):</w:t>
      </w:r>
      <w:r>
        <w:rPr>
          <w:rFonts w:ascii="Times New Roman" w:hAnsi="Times New Roman"/>
          <w:sz w:val="22"/>
        </w:rPr>
        <w:t xml:space="preserve"> Representa el número total de estrellas (stars) recibidas por el repositorio en GitHub. Constituye el indicador por excelencia de popularidad, visibilidad general y respaldo comunitario en el ecosistema open source.</w:t>
      </w:r>
    </w:p>
    <w:p>
      <w:pPr>
        <w:spacing w:before="40" w:after="80" w:line="276" w:lineRule="auto"/>
      </w:pPr>
      <w:r>
        <w:rPr>
          <w:rFonts w:ascii="Times New Roman" w:hAnsi="Times New Roman"/>
          <w:b/>
          <w:color w:val="2C3E50"/>
          <w:sz w:val="22"/>
        </w:rPr>
        <w:t>• forks (Cuantitativa discreta / continua):</w:t>
      </w:r>
      <w:r>
        <w:rPr>
          <w:rFonts w:ascii="Times New Roman" w:hAnsi="Times New Roman"/>
          <w:sz w:val="22"/>
        </w:rPr>
        <w:t xml:space="preserve"> Indica el número de bifurcaciones o copias derivadas creadas a partir del repositorio original. Refleja de manera fidedigna la tasa de adopción técnica, colaboración distribuida y reutilización directa del código fuente.</w:t>
      </w:r>
    </w:p>
    <w:p>
      <w:pPr>
        <w:spacing w:before="40" w:after="80" w:line="276" w:lineRule="auto"/>
      </w:pPr>
      <w:r>
        <w:rPr>
          <w:rFonts w:ascii="Times New Roman" w:hAnsi="Times New Roman"/>
          <w:b/>
          <w:color w:val="2C3E50"/>
          <w:sz w:val="22"/>
        </w:rPr>
        <w:t>• open_issues (Cuantitativa discreta):</w:t>
      </w:r>
      <w:r>
        <w:rPr>
          <w:rFonts w:ascii="Times New Roman" w:hAnsi="Times New Roman"/>
          <w:sz w:val="22"/>
        </w:rPr>
        <w:t xml:space="preserve"> Cantidad de incidencias, tickets de errores (bugs) y solicitudes de mejora actualmente abiertas y no resueltas. Sirve como métrica clave de la carga de mantenimiento pendiente, actividad de depuración y soporte comunitario.</w:t>
      </w:r>
    </w:p>
    <w:p>
      <w:pPr>
        <w:spacing w:before="40" w:after="80" w:line="276" w:lineRule="auto"/>
      </w:pPr>
      <w:r>
        <w:rPr>
          <w:rFonts w:ascii="Times New Roman" w:hAnsi="Times New Roman"/>
          <w:b/>
          <w:color w:val="2C3E50"/>
          <w:sz w:val="22"/>
        </w:rPr>
        <w:t>• watchers y size_kb (Cuantitativas de soporte):</w:t>
      </w:r>
      <w:r>
        <w:rPr>
          <w:rFonts w:ascii="Times New Roman" w:hAnsi="Times New Roman"/>
          <w:sz w:val="22"/>
        </w:rPr>
        <w:t xml:space="preserve"> watchers mide el número de desarrolladores suscritos a las notificaciones en tiempo real del repositorio (cuyos valores en este dataset guardan identidad matemática con stars), mientras que size_kb refleja la magnitud física del repositorio en kilobytes, permitiendo dimensionar la escala del código.</w:t>
      </w:r>
    </w:p>
    <w:p>
      <w:pPr>
        <w:spacing w:before="40" w:after="80" w:line="276" w:lineRule="auto"/>
      </w:pPr>
      <w:r>
        <w:rPr>
          <w:rFonts w:ascii="Times New Roman" w:hAnsi="Times New Roman"/>
          <w:b/>
          <w:color w:val="2C3E50"/>
          <w:sz w:val="22"/>
        </w:rPr>
        <w:t>• ln_stars_1, ln_forks_1, ln_open_issues_1 (Cuantitativas transformadas):</w:t>
      </w:r>
      <w:r>
        <w:rPr>
          <w:rFonts w:ascii="Times New Roman" w:hAnsi="Times New Roman"/>
          <w:sz w:val="22"/>
        </w:rPr>
        <w:t xml:space="preserve"> Corresponden a las transformaciones logarítmicas naturales estandarizadas ln(X + 1), aplicadas rigurosamente en el software IBM SPSS Statistics para estabilizar la heterocedasticidad y reducir la asimetría positiva intrínseca de los datos de conteo en repositorios.</w:t>
      </w:r>
    </w:p>
    <w:p>
      <w:pPr>
        <w:spacing w:before="40" w:after="80" w:line="276" w:lineRule="auto"/>
      </w:pPr>
      <w:r>
        <w:rPr>
          <w:rFonts w:ascii="Times New Roman" w:hAnsi="Times New Roman"/>
          <w:b/>
          <w:color w:val="2C3E50"/>
          <w:sz w:val="22"/>
        </w:rPr>
        <w:t>• owner_type / owner2 (Cualitativa nominal dicotómica):</w:t>
      </w:r>
      <w:r>
        <w:rPr>
          <w:rFonts w:ascii="Times New Roman" w:hAnsi="Times New Roman"/>
          <w:sz w:val="22"/>
        </w:rPr>
        <w:t xml:space="preserve"> Criterio de clasificación del propietario del proyecto en dos categorías mutuamente excluyentes: Organization (entidades corporativas, comunidades o fundaciones; n = 878) y User (desarrolladores o usuarios individuales; n = 689). Define el diseño de dos grupos independientes.</w:t>
      </w:r>
    </w:p>
    <w:p>
      <w:pPr>
        <w:spacing w:before="40" w:after="80" w:line="276" w:lineRule="auto"/>
      </w:pPr>
      <w:r>
        <w:rPr>
          <w:rFonts w:ascii="Times New Roman" w:hAnsi="Times New Roman"/>
          <w:b/>
          <w:color w:val="2C3E50"/>
          <w:sz w:val="22"/>
        </w:rPr>
        <w:t>• license_spdx_id / lic3 (Cualitativa nominal politómica):</w:t>
      </w:r>
      <w:r>
        <w:rPr>
          <w:rFonts w:ascii="Times New Roman" w:hAnsi="Times New Roman"/>
          <w:sz w:val="22"/>
        </w:rPr>
        <w:t xml:space="preserve"> Tipo de licencia de software de código abierto bajo la cual se distribuye el proyecto. Para el Análisis de Varianza (ANOVA) y las pruebas Post Hoc se seleccionaron los tres grupos predominantes: MIT (lic3 = 1.00; n = 546), Apache-2.0 (lic3 = 2.00; n = 405) y GPL-3.0 (lic3 = 3.00; n = 112), sumando N = 1063 repositorios.</w:t>
      </w:r>
    </w:p>
    <w:p>
      <w:pPr>
        <w:keepNext/>
        <w:spacing w:before="320" w:after="120"/>
        <w:jc w:val="left"/>
      </w:pPr>
      <w:r>
        <w:rPr>
          <w:rFonts w:ascii="Times New Roman" w:hAnsi="Times New Roman"/>
          <w:b/>
          <w:color w:val="1B365D"/>
          <w:sz w:val="28"/>
        </w:rPr>
        <w:t>2. Planteamiento del análisis</w:t>
      </w:r>
    </w:p>
    <w:p>
      <w:pPr>
        <w:keepNext/>
        <w:spacing w:before="240" w:after="80"/>
        <w:jc w:val="left"/>
      </w:pPr>
      <w:r>
        <w:rPr>
          <w:rFonts w:ascii="Times New Roman" w:hAnsi="Times New Roman"/>
          <w:b/>
          <w:color w:val="2C3E50"/>
          <w:sz w:val="25"/>
        </w:rPr>
        <w:t>2.1 Contexto y planteamiento del problema</w:t>
      </w:r>
    </w:p>
    <w:p>
      <w:pPr>
        <w:spacing w:before="0" w:after="120" w:line="276" w:lineRule="auto"/>
        <w:jc w:val="both"/>
      </w:pPr>
      <w:r>
        <w:rPr>
          <w:rFonts w:ascii="Times New Roman" w:hAnsi="Times New Roman"/>
          <w:b w:val="0"/>
          <w:i w:val="0"/>
          <w:color w:val="222222"/>
          <w:sz w:val="24"/>
        </w:rPr>
        <w:t>En la ingeniería de software moderna, las plataformas colaborativas como GitHub representan el núcleo operativo de la innovación tecnológica. Sin embargo, los proyectos que conviven en este ecosistema difieren sustancialmente en sus modelos de gobernanza, estructura de licenciamiento y niveles de respaldo comunitario. Mientras que algunas iniciativas son impulsadas por grandes empresas y consorcios tecnológicos (Organizaciones), otras nacen de programadores independientes (Usuarios). Asimismo, la elección entre licencias permisivas (MIT, Apache-2.0) y licencias recíprocas o copyleft fuerte (GPL-3.0) define el marco de derechos y obligaciones bajo el cual la comunidad puede interactuar con el código.</w:t>
      </w:r>
    </w:p>
    <w:p>
      <w:pPr>
        <w:spacing w:before="0" w:after="120" w:line="276" w:lineRule="auto"/>
        <w:jc w:val="both"/>
      </w:pPr>
      <w:r>
        <w:rPr>
          <w:rFonts w:ascii="Times New Roman" w:hAnsi="Times New Roman"/>
          <w:b w:val="0"/>
          <w:i w:val="0"/>
          <w:color w:val="222222"/>
          <w:sz w:val="24"/>
        </w:rPr>
        <w:t>Frente a este escenario, resulta crucial determinar mediante modelos de estadística inferencial si los parámetros poblacionales de popularidad, reutilización de código y mantenimiento presentan patrones sistemáticos diferenciables, o si por el contrario la dispersión observada obedece al azar muestral. Con este propósito, se estructuran cinco procedimientos inferenciales centrales:</w:t>
      </w:r>
    </w:p>
    <w:p>
      <w:pPr>
        <w:keepNext/>
        <w:spacing w:before="240" w:after="80"/>
        <w:jc w:val="left"/>
      </w:pPr>
      <w:r>
        <w:rPr>
          <w:rFonts w:ascii="Times New Roman" w:hAnsi="Times New Roman"/>
          <w:b/>
          <w:color w:val="2C3E50"/>
          <w:sz w:val="25"/>
        </w:rPr>
        <w:t>2.2 Preguntas de investigación</w:t>
      </w:r>
    </w:p>
    <w:p>
      <w:pPr>
        <w:spacing w:before="40" w:after="80" w:line="276" w:lineRule="auto"/>
      </w:pPr>
      <w:r>
        <w:rPr>
          <w:rFonts w:ascii="Times New Roman" w:hAnsi="Times New Roman"/>
          <w:b/>
          <w:color w:val="1B365D"/>
          <w:sz w:val="22"/>
        </w:rPr>
        <w:t>• Q1 (Prueba de hipótesis para una muestra):</w:t>
      </w:r>
      <w:r>
        <w:rPr>
          <w:rFonts w:ascii="Times New Roman" w:hAnsi="Times New Roman"/>
          <w:sz w:val="22"/>
        </w:rPr>
        <w:t xml:space="preserve"> ¿El promedio poblacional de popularidad (medido a través del número de estrellas, stars) de los repositorios de Python de código abierto difiere estadísticamente del estándar de referencia de 9000 estrellas (y complementariamente del umbral de 5000 estrellas)?</w:t>
      </w:r>
    </w:p>
    <w:p>
      <w:pPr>
        <w:spacing w:before="40" w:after="80" w:line="276" w:lineRule="auto"/>
      </w:pPr>
      <w:r>
        <w:rPr>
          <w:rFonts w:ascii="Times New Roman" w:hAnsi="Times New Roman"/>
          <w:b/>
          <w:color w:val="1B365D"/>
          <w:sz w:val="22"/>
        </w:rPr>
        <w:t>• Q2 (Comparación de dos grupos independientes):</w:t>
      </w:r>
      <w:r>
        <w:rPr>
          <w:rFonts w:ascii="Times New Roman" w:hAnsi="Times New Roman"/>
          <w:sz w:val="22"/>
        </w:rPr>
        <w:t xml:space="preserve"> ¿Existe una diferencia estadísticamente significativa en el nivel promedio de bifurcaciones transformadas (ln_forks_1) entre los repositorios gestionados por Organizaciones y los administrados por Usuarios individuales?</w:t>
      </w:r>
    </w:p>
    <w:p>
      <w:pPr>
        <w:spacing w:before="40" w:after="80" w:line="276" w:lineRule="auto"/>
      </w:pPr>
      <w:r>
        <w:rPr>
          <w:rFonts w:ascii="Times New Roman" w:hAnsi="Times New Roman"/>
          <w:b/>
          <w:color w:val="1B365D"/>
          <w:sz w:val="22"/>
        </w:rPr>
        <w:t>• Q3 (Comparación de muestras relacionadas):</w:t>
      </w:r>
      <w:r>
        <w:rPr>
          <w:rFonts w:ascii="Times New Roman" w:hAnsi="Times New Roman"/>
          <w:sz w:val="22"/>
        </w:rPr>
        <w:t xml:space="preserve"> ¿Existe una diferencia estadísticamente significativa entre el promedio de estrellas (ln_stars_1) y el promedio de bifurcaciones (ln_forks_1) medidos sobre las mismas unidades muestrales (mismos repositorios de software)? ¿Supera la popularidad pasiva (stars) a la adopción colaborativa activa (forks)?</w:t>
      </w:r>
    </w:p>
    <w:p>
      <w:pPr>
        <w:spacing w:before="40" w:after="80" w:line="276" w:lineRule="auto"/>
      </w:pPr>
      <w:r>
        <w:rPr>
          <w:rFonts w:ascii="Times New Roman" w:hAnsi="Times New Roman"/>
          <w:b/>
          <w:color w:val="1B365D"/>
          <w:sz w:val="22"/>
        </w:rPr>
        <w:t>• Q4 (Análisis de Varianza - ANOVA de un factor):</w:t>
      </w:r>
      <w:r>
        <w:rPr>
          <w:rFonts w:ascii="Times New Roman" w:hAnsi="Times New Roman"/>
          <w:sz w:val="22"/>
        </w:rPr>
        <w:t xml:space="preserve"> ¿Existen diferencias estadísticamente significativas en el promedio de incidencias abiertas transformadas (ln_open_issues_1) entre los repositorios de software según su tipo de licencia (MIT, Apache-2.0 y GPL-3.0)?</w:t>
      </w:r>
    </w:p>
    <w:p>
      <w:pPr>
        <w:spacing w:before="40" w:after="80" w:line="276" w:lineRule="auto"/>
      </w:pPr>
      <w:r>
        <w:rPr>
          <w:rFonts w:ascii="Times New Roman" w:hAnsi="Times New Roman"/>
          <w:b/>
          <w:color w:val="1B365D"/>
          <w:sz w:val="22"/>
        </w:rPr>
        <w:t>• Q5 (Pruebas Post Hoc de comparaciones múltiples):</w:t>
      </w:r>
      <w:r>
        <w:rPr>
          <w:rFonts w:ascii="Times New Roman" w:hAnsi="Times New Roman"/>
          <w:sz w:val="22"/>
        </w:rPr>
        <w:t xml:space="preserve"> Habiéndose determinado la significancia global del ANOVA, ¿entre qué pares específicos de licencias se localizan las diferencias significativas en la carga de issues abiertos y qué implicancias metodológicas revisten?</w:t>
      </w:r>
    </w:p>
    <w:p>
      <w:pPr>
        <w:keepNext/>
        <w:spacing w:before="240" w:after="80"/>
        <w:jc w:val="left"/>
      </w:pPr>
      <w:r>
        <w:rPr>
          <w:rFonts w:ascii="Times New Roman" w:hAnsi="Times New Roman"/>
          <w:b/>
          <w:color w:val="2C3E50"/>
          <w:sz w:val="25"/>
        </w:rPr>
        <w:t>2.3 Justificación metodológica de las variables</w:t>
      </w:r>
    </w:p>
    <w:p>
      <w:pPr>
        <w:spacing w:before="0" w:after="120" w:line="276" w:lineRule="auto"/>
        <w:jc w:val="both"/>
      </w:pPr>
      <w:r>
        <w:rPr>
          <w:rFonts w:ascii="Times New Roman" w:hAnsi="Times New Roman"/>
          <w:b w:val="0"/>
          <w:i w:val="0"/>
          <w:color w:val="222222"/>
          <w:sz w:val="24"/>
        </w:rPr>
        <w:t>La selección de stars, forks y open_issues obedece a que constituyen la tríada métrica universal del modelo de desarrollo open source. Las estrellas cuantifican el aprecio e impacto externo del producto; las bifurcaciones reflejan el compromiso de la comunidad técnica para extender o auditar el software; y las incidencias abiertas reflejan la deuda técnica acumulada y la dinámica de mantenimiento. Por su parte, la inclusión de las transformaciones ln(X + 1) responde a las mejores prácticas de la inferencia paramétrica ante distribuciones con marcada asimetría positiva, permitiendo reducir el sesgo de escala sin alterar el orden monotónico de los datos.</w:t>
      </w:r>
    </w:p>
    <w:p>
      <w:pPr>
        <w:keepNext/>
        <w:spacing w:before="320" w:after="120"/>
        <w:jc w:val="left"/>
      </w:pPr>
      <w:r>
        <w:rPr>
          <w:rFonts w:ascii="Times New Roman" w:hAnsi="Times New Roman"/>
          <w:b/>
          <w:color w:val="1B365D"/>
          <w:sz w:val="28"/>
        </w:rPr>
        <w:t>3. Análisis descriptivo y estimación</w:t>
      </w:r>
    </w:p>
    <w:p>
      <w:pPr>
        <w:keepNext/>
        <w:spacing w:before="240" w:after="80"/>
        <w:jc w:val="left"/>
      </w:pPr>
      <w:r>
        <w:rPr>
          <w:rFonts w:ascii="Times New Roman" w:hAnsi="Times New Roman"/>
          <w:b/>
          <w:color w:val="2C3E50"/>
          <w:sz w:val="25"/>
        </w:rPr>
        <w:t>3.1 Estadísticos descriptivos generales</w:t>
      </w:r>
    </w:p>
    <w:p>
      <w:pPr>
        <w:spacing w:before="0" w:after="120" w:line="276" w:lineRule="auto"/>
        <w:jc w:val="both"/>
      </w:pPr>
      <w:r>
        <w:rPr>
          <w:rFonts w:ascii="Times New Roman" w:hAnsi="Times New Roman"/>
          <w:b w:val="0"/>
          <w:i w:val="0"/>
          <w:color w:val="222222"/>
          <w:sz w:val="24"/>
        </w:rPr>
        <w:t>A continuación se presentan los estadísticos descriptivos fundamentales obtenidos a partir de la muestra completa de n = 1567 repositorios de software en Python. La Tabla 1 consolida las medidas de tendencia central, dispersión y posición para las variables originales bajo estudio.</w:t>
      </w:r>
    </w:p>
    <w:p>
      <w:pPr>
        <w:spacing w:before="0" w:after="120" w:line="276" w:lineRule="auto"/>
        <w:jc w:val="center"/>
      </w:pPr>
      <w:r>
        <w:rPr>
          <w:rFonts w:ascii="Times New Roman" w:hAnsi="Times New Roman"/>
          <w:b/>
          <w:i w:val="0"/>
          <w:color w:val="1B365D"/>
          <w:sz w:val="21"/>
        </w:rPr>
        <w:t>Tabla 1. Estadísticos descriptivos generales de la muestra completa (n = 1567).</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Estadístico</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Stars</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Forks</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Watchers</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Open Issues</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Size (KB)</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N</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1567</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1567</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1567</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1567</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1567</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Media</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8963.88</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1318.58</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8963.88</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179.91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136916.26</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Desv. estándar</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4411.51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1211.51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4411.51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337.52</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769547.30</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Mínimo</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4001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8</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4001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3</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Q1 (25 %)</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4591.50</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592.50</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4591.50</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29.00</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3486.00</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Mediana</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8539.00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998.00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8539.00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78.00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16923.00</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Q3 (75 %)</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11960.00</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1649.50</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11960.00</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186.00</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71656.50</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Máximo</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19931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19556</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19931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5959</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20737671</w:t>
            </w:r>
          </w:p>
        </w:tc>
      </w:tr>
    </w:tbl>
    <w:p>
      <w:pPr>
        <w:spacing w:before="0" w:after="120"/>
      </w:pPr>
    </w:p>
    <w:p>
      <w:pPr>
        <w:keepNext/>
        <w:spacing w:before="240" w:after="80"/>
        <w:jc w:val="left"/>
      </w:pPr>
      <w:r>
        <w:rPr>
          <w:rFonts w:ascii="Times New Roman" w:hAnsi="Times New Roman"/>
          <w:b/>
          <w:color w:val="2C3E50"/>
          <w:sz w:val="25"/>
        </w:rPr>
        <w:t>3.2 Asimetría, curtosis y forma de las distribuciones</w:t>
      </w:r>
    </w:p>
    <w:p>
      <w:pPr>
        <w:spacing w:before="0" w:after="120" w:line="276" w:lineRule="auto"/>
        <w:jc w:val="both"/>
      </w:pPr>
      <w:r>
        <w:rPr>
          <w:rFonts w:ascii="Times New Roman" w:hAnsi="Times New Roman"/>
          <w:b w:val="0"/>
          <w:i w:val="0"/>
          <w:color w:val="222222"/>
          <w:sz w:val="24"/>
        </w:rPr>
        <w:t>La evaluación de la forma distributiva revela una asimetría positiva consistente en todas las variables analizadas, donde la media aritmética supera sensiblemente a la mediana. Este comportamiento es característico de las métricas de software, en las que la gran mayoría de proyectos exhibe niveles moderados de actividad mientras que un reducido grupo de proyectos estelares acumula volúmenes desproporcionados de bifurcaciones, incidencias y tamaño de almacenamiento.</w:t>
      </w:r>
    </w:p>
    <w:p>
      <w:pPr>
        <w:spacing w:before="0" w:after="120" w:line="276" w:lineRule="auto"/>
        <w:jc w:val="center"/>
      </w:pPr>
      <w:r>
        <w:rPr>
          <w:rFonts w:ascii="Times New Roman" w:hAnsi="Times New Roman"/>
          <w:b/>
          <w:i w:val="0"/>
          <w:color w:val="1B365D"/>
          <w:sz w:val="21"/>
        </w:rPr>
        <w:t>Tabla 2. Coeficientes de asimetría y curtosis (n = 1567).</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Stars</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Forks</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Open Issues</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Size (KB)</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Asimetría</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0.60</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4.74</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6.71</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16.94</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Curtosis</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-0.66</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48.69</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76.95</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373.41</w:t>
            </w:r>
          </w:p>
        </w:tc>
      </w:tr>
    </w:tbl>
    <w:p>
      <w:pPr>
        <w:spacing w:before="0" w:after="120"/>
      </w:pPr>
    </w:p>
    <w:p>
      <w:pPr>
        <w:spacing w:before="0" w:after="120" w:line="276" w:lineRule="auto"/>
        <w:jc w:val="both"/>
      </w:pPr>
      <w:r>
        <w:rPr>
          <w:rFonts w:ascii="Times New Roman" w:hAnsi="Times New Roman"/>
          <w:b w:val="0"/>
          <w:i w:val="0"/>
          <w:color w:val="222222"/>
          <w:sz w:val="24"/>
        </w:rPr>
        <w:t>Interpretación: La variable stars exhibe una asimetría leve a moderada (0.60) y curtosis platicúrtica (-0.66), facilitando su análisis en pruebas de una muestra. En marcado contraste, forks, open_issues y size_kb presentan coeficientes de asimetría y curtosis leptocúrtica extremadamente elevados (curtosis de 48.69, 76.95 y 373.41 respectivamente), justificando plenamente el uso de la transformación logarítmica natural ln(X + 1) aplicada en las secciones subsecuentes.</w:t>
      </w:r>
    </w:p>
    <w:p>
      <w:pPr>
        <w:keepNext/>
        <w:spacing w:before="240" w:after="80"/>
        <w:jc w:val="left"/>
      </w:pPr>
      <w:r>
        <w:rPr>
          <w:rFonts w:ascii="Times New Roman" w:hAnsi="Times New Roman"/>
          <w:b/>
          <w:color w:val="2C3E50"/>
          <w:sz w:val="25"/>
        </w:rPr>
        <w:t>3.3 Estimación puntual de parámetros poblacionales</w:t>
      </w:r>
    </w:p>
    <w:p>
      <w:pPr>
        <w:spacing w:before="0" w:after="120" w:line="276" w:lineRule="auto"/>
        <w:jc w:val="both"/>
      </w:pPr>
      <w:r>
        <w:rPr>
          <w:rFonts w:ascii="Times New Roman" w:hAnsi="Times New Roman"/>
          <w:b w:val="0"/>
          <w:i w:val="0"/>
          <w:color w:val="222222"/>
          <w:sz w:val="24"/>
        </w:rPr>
        <w:t>A partir de los estimadores insesgados calculados sobre la muestra representativa (n = 1567), las estimaciones puntuales de los parámetros de tendencia central y variabilidad poblacional son:</w:t>
      </w:r>
    </w:p>
    <w:p>
      <w:pPr>
        <w:spacing w:before="0" w:after="120" w:line="276" w:lineRule="auto"/>
        <w:jc w:val="both"/>
      </w:pPr>
      <w:r>
        <w:rPr>
          <w:rFonts w:ascii="Times New Roman" w:hAnsi="Times New Roman"/>
          <w:b w:val="0"/>
          <w:i w:val="0"/>
          <w:color w:val="222222"/>
          <w:sz w:val="24"/>
        </w:rPr>
        <w:t>• Media poblacional de Stars: μ̂ = 8963.88 estrellas (Varianza estimada: s² = 19 461 426.70; Desv. Est.: s = 4411.51).</w:t>
      </w:r>
    </w:p>
    <w:p>
      <w:pPr>
        <w:spacing w:before="0" w:after="120" w:line="276" w:lineRule="auto"/>
        <w:jc w:val="both"/>
      </w:pPr>
      <w:r>
        <w:rPr>
          <w:rFonts w:ascii="Times New Roman" w:hAnsi="Times New Roman"/>
          <w:b w:val="0"/>
          <w:i w:val="0"/>
          <w:color w:val="222222"/>
          <w:sz w:val="24"/>
        </w:rPr>
        <w:t>• Media poblacional de Forks: μ̂ = 1318.58 bifurcaciones (Varianza estimada: s² = 1 467 748.40; Desv. Est.: s = 1211.51).</w:t>
      </w:r>
    </w:p>
    <w:p>
      <w:pPr>
        <w:spacing w:before="0" w:after="120" w:line="276" w:lineRule="auto"/>
        <w:jc w:val="both"/>
      </w:pPr>
      <w:r>
        <w:rPr>
          <w:rFonts w:ascii="Times New Roman" w:hAnsi="Times New Roman"/>
          <w:b w:val="0"/>
          <w:i w:val="0"/>
          <w:color w:val="222222"/>
          <w:sz w:val="24"/>
        </w:rPr>
        <w:t>• Media poblacional de Open Issues: μ̂ = 179.91 incidencias (Varianza estimada: s² = 113 922.21; Desv. Est.: s = 337.52).</w:t>
      </w:r>
    </w:p>
    <w:p>
      <w:pPr>
        <w:spacing w:before="0" w:after="120" w:line="276" w:lineRule="auto"/>
        <w:jc w:val="both"/>
      </w:pPr>
      <w:r>
        <w:rPr>
          <w:rFonts w:ascii="Times New Roman" w:hAnsi="Times New Roman"/>
          <w:b w:val="0"/>
          <w:i w:val="0"/>
          <w:color w:val="222222"/>
          <w:sz w:val="24"/>
        </w:rPr>
        <w:t>• Media poblacional de Size (KB): μ̂ = 136 916.26 KB (Desv. Est.: s = 769 547.30 KB).</w:t>
      </w:r>
    </w:p>
    <w:p>
      <w:pPr>
        <w:keepNext/>
        <w:spacing w:before="240" w:after="80"/>
        <w:jc w:val="left"/>
      </w:pPr>
      <w:r>
        <w:rPr>
          <w:rFonts w:ascii="Times New Roman" w:hAnsi="Times New Roman"/>
          <w:b/>
          <w:color w:val="2C3E50"/>
          <w:sz w:val="25"/>
        </w:rPr>
        <w:t>3.4 Intervalos de confianza al 95 % para la media</w:t>
      </w:r>
    </w:p>
    <w:p>
      <w:pPr>
        <w:spacing w:before="0" w:after="120" w:line="276" w:lineRule="auto"/>
        <w:jc w:val="both"/>
      </w:pPr>
      <w:r>
        <w:rPr>
          <w:rFonts w:ascii="Times New Roman" w:hAnsi="Times New Roman"/>
          <w:b w:val="0"/>
          <w:i w:val="0"/>
          <w:color w:val="222222"/>
          <w:sz w:val="24"/>
        </w:rPr>
        <w:t>Utilizando la distribución t de Student (con n - 1 = 1566 grados de libertad y valor crítico t_0.025 ≈ 1.9615), se determinaron los intervalos de confianza al 95 % para la media poblacional de cada variable métrica:</w:t>
      </w:r>
    </w:p>
    <w:p>
      <w:pPr>
        <w:spacing w:before="0" w:after="120" w:line="276" w:lineRule="auto"/>
        <w:jc w:val="center"/>
      </w:pPr>
      <w:r>
        <w:rPr>
          <w:rFonts w:ascii="Times New Roman" w:hAnsi="Times New Roman"/>
          <w:b/>
          <w:i w:val="0"/>
          <w:color w:val="1B365D"/>
          <w:sz w:val="21"/>
        </w:rPr>
        <w:t>Tabla 3. Intervalos de confianza al 95 % para la media poblacional (n = 1567).</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Media</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Error estándar (SE)</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Margen de error</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IC 95 %</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8963.88</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111.44</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218.59</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[8745.29 ; 9182.48]</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1318.58</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30.60</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60.03</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[1258.55 ; 1378.61]</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179.91</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8.53</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16.72</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[163.18 ; 196.63]</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136916.26</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19440.00</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38131.50</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[98784.76 ; 175047.76]</w:t>
            </w:r>
          </w:p>
        </w:tc>
      </w:tr>
    </w:tbl>
    <w:p>
      <w:pPr>
        <w:spacing w:before="0" w:after="120"/>
      </w:pPr>
    </w:p>
    <w:p>
      <w:pPr>
        <w:spacing w:before="0" w:after="120" w:line="276" w:lineRule="auto"/>
        <w:jc w:val="both"/>
      </w:pPr>
      <w:r>
        <w:rPr>
          <w:rFonts w:ascii="Times New Roman" w:hAnsi="Times New Roman"/>
          <w:b w:val="0"/>
          <w:i w:val="0"/>
          <w:color w:val="222222"/>
          <w:sz w:val="24"/>
        </w:rPr>
        <w:t>Interpretación: Con un 95 % de nivel de confianza, se tiene la certeza estadística de que el verdadero promedio poblacional de estrellas de los repositorios de Python se sitúa entre 8745.29 y 9182.48. Es notable resaltar que el valor de prueba μ₀ = 9000 queda contenido dentro de este intervalo, lo cual anticipa formalmente la no significancia de la prueba t en la Sección 5.</w:t>
      </w:r>
    </w:p>
    <w:p>
      <w:pPr>
        <w:keepNext/>
        <w:spacing w:before="240" w:after="80"/>
        <w:jc w:val="left"/>
      </w:pPr>
      <w:r>
        <w:rPr>
          <w:rFonts w:ascii="Times New Roman" w:hAnsi="Times New Roman"/>
          <w:b/>
          <w:color w:val="2C3E50"/>
          <w:sz w:val="25"/>
        </w:rPr>
        <w:t>3.5 Intervalos de confianza para proporciones</w:t>
      </w:r>
    </w:p>
    <w:p>
      <w:pPr>
        <w:spacing w:before="0" w:after="120" w:line="276" w:lineRule="auto"/>
        <w:jc w:val="both"/>
      </w:pPr>
      <w:r>
        <w:rPr>
          <w:rFonts w:ascii="Times New Roman" w:hAnsi="Times New Roman"/>
          <w:b w:val="0"/>
          <w:i w:val="0"/>
          <w:color w:val="222222"/>
          <w:sz w:val="24"/>
        </w:rPr>
        <w:t>Complementariamente, se evaluaron proporciones de hitos críticos en la comunidad open source: de los 1567 proyectos, 573 repositorios (36.57 %) superan las 10 000 estrellas, estableciendo un IC 95 % = [34.18 % ; 38.95 %]. Asimismo, 130 repositorios (8.30 %) superan las 500 incidencias abiertas, con un IC 95 % = [6.93 % ; 9.67 %], demostrando que una proporción sustancial del ecosistema analizado ostenta estatus de alta masividad comunitaria.</w:t>
      </w:r>
    </w:p>
    <w:p>
      <w:pPr>
        <w:keepNext/>
        <w:spacing w:before="320" w:after="120"/>
        <w:jc w:val="left"/>
      </w:pPr>
      <w:r>
        <w:rPr>
          <w:rFonts w:ascii="Times New Roman" w:hAnsi="Times New Roman"/>
          <w:b/>
          <w:color w:val="1B365D"/>
          <w:sz w:val="28"/>
        </w:rPr>
        <w:t>4. Verificación de supuestos</w:t>
      </w:r>
    </w:p>
    <w:p>
      <w:pPr>
        <w:keepNext/>
        <w:spacing w:before="240" w:after="80"/>
        <w:jc w:val="left"/>
      </w:pPr>
      <w:r>
        <w:rPr>
          <w:rFonts w:ascii="Times New Roman" w:hAnsi="Times New Roman"/>
          <w:b/>
          <w:color w:val="2C3E50"/>
          <w:sz w:val="25"/>
        </w:rPr>
        <w:t>4.1 El supuesto de distribución normal y el Teorema del Límite Central</w:t>
      </w:r>
    </w:p>
    <w:p>
      <w:pPr>
        <w:spacing w:before="0" w:after="120" w:line="276" w:lineRule="auto"/>
        <w:jc w:val="both"/>
      </w:pPr>
      <w:r>
        <w:rPr>
          <w:rFonts w:ascii="Times New Roman" w:hAnsi="Times New Roman"/>
          <w:b w:val="0"/>
          <w:i w:val="0"/>
          <w:color w:val="222222"/>
          <w:sz w:val="24"/>
        </w:rPr>
        <w:t>La aplicación rigurosa de procedimientos inferenciales paramétricos descansa sobre dos pilares teóricos fundamentales: la distribución normal de las variables y la homogeneidad de varianzas (homocedasticidad). En la práctica del desarrollo de software, las variables de conteo nunca siguen una distribución gaussiana perfecta debido a la naturaleza discreta de los eventos y la presencia de proyectos de impacto extraordinario (efecto 'red').</w:t>
      </w:r>
    </w:p>
    <w:p>
      <w:pPr>
        <w:spacing w:before="0" w:after="120" w:line="276" w:lineRule="auto"/>
        <w:jc w:val="both"/>
      </w:pPr>
      <w:r>
        <w:rPr>
          <w:rFonts w:ascii="Times New Roman" w:hAnsi="Times New Roman"/>
          <w:b w:val="0"/>
          <w:i w:val="0"/>
          <w:color w:val="222222"/>
          <w:sz w:val="24"/>
        </w:rPr>
        <w:t>No obstante, el Teorema del Límite Central (TLC) establece formalmente que, para tamaños muestrales suficientemente grandes (típicamente n ≥ 30, y en este estudio n = 1567, con subgrupos de n = 405 a 878), la distribución muestral de las medias muestrales aproxima asintóticamente a una distribución normal con media μ y varianza σ²/n, con independencia de la forma distributiva de la población original. Esto confiere una solidez matemática incuestionable a las pruebas t y al modelo ANOVA implementados.</w:t>
      </w:r>
    </w:p>
    <w:p>
      <w:pPr>
        <w:keepNext/>
        <w:spacing w:before="240" w:after="80"/>
        <w:jc w:val="left"/>
      </w:pPr>
      <w:r>
        <w:rPr>
          <w:rFonts w:ascii="Times New Roman" w:hAnsi="Times New Roman"/>
          <w:b/>
          <w:color w:val="2C3E50"/>
          <w:sz w:val="25"/>
        </w:rPr>
        <w:t>4.2 Pruebas de normalidad mediante Shapiro–Wilk</w:t>
      </w:r>
    </w:p>
    <w:p>
      <w:pPr>
        <w:spacing w:before="0" w:after="120" w:line="276" w:lineRule="auto"/>
        <w:jc w:val="both"/>
      </w:pPr>
      <w:r>
        <w:rPr>
          <w:rFonts w:ascii="Times New Roman" w:hAnsi="Times New Roman"/>
          <w:b w:val="0"/>
          <w:i w:val="0"/>
          <w:color w:val="222222"/>
          <w:sz w:val="24"/>
        </w:rPr>
        <w:t>Se contrastaron formalmente las hipótesis de normalidad (H₀: los datos proceden de una población con distribución normal vs. H₁: los datos no proceden de una población normal) fijando un nivel de significancia de α = 0.05. La Tabla 4 resume las pruebas de Shapiro–Wilk para la muestra global y la Tabla 5 por grupos de propietarios.</w:t>
      </w:r>
    </w:p>
    <w:p>
      <w:pPr>
        <w:spacing w:before="0" w:after="120" w:line="276" w:lineRule="auto"/>
        <w:jc w:val="center"/>
      </w:pPr>
      <w:r>
        <w:rPr>
          <w:rFonts w:ascii="Times New Roman" w:hAnsi="Times New Roman"/>
          <w:b/>
          <w:i w:val="0"/>
          <w:color w:val="1B365D"/>
          <w:sz w:val="21"/>
        </w:rPr>
        <w:t>Tabla 4. Prueba de normalidad Shapiro–Wilk — Muestra completa (n = 1567).</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Estadístico W</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Grados de libertad (gl)</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Valor p</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¿Sigue distribución normal?</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0.8989</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1567</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No (Rechaza H₀)</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0.6878</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1567</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 (Rechaza H₀)</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0.4757</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1567</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No (Rechaza H₀)</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0.1316</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1567</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 (Rechaza H₀)</w:t>
            </w:r>
          </w:p>
        </w:tc>
      </w:tr>
    </w:tbl>
    <w:p>
      <w:pPr>
        <w:spacing w:before="0" w:after="120"/>
      </w:pPr>
    </w:p>
    <w:p>
      <w:pPr>
        <w:spacing w:before="0" w:after="120" w:line="276" w:lineRule="auto"/>
        <w:jc w:val="center"/>
      </w:pPr>
      <w:r>
        <w:rPr>
          <w:rFonts w:ascii="Times New Roman" w:hAnsi="Times New Roman"/>
          <w:b/>
          <w:i w:val="0"/>
          <w:color w:val="1B365D"/>
          <w:sz w:val="21"/>
        </w:rPr>
        <w:t>Tabla 5. Prueba de normalidad Shapiro–Wilk por Tipo de Propietario (Organization vs. User).</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Grupo de Propietario</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N</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Estadístico W</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Valor p</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¿Normal?</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Organization</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878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0.9076</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No</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User</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689</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0.8861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Organization</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878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0.8103</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No</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User</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689</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0.6040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Organization</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878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0.5043</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No</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User</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689</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0.5647</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w:t>
            </w:r>
          </w:p>
        </w:tc>
      </w:tr>
    </w:tbl>
    <w:p>
      <w:pPr>
        <w:spacing w:before="0" w:after="120"/>
      </w:pPr>
    </w:p>
    <w:p>
      <w:pPr>
        <w:spacing w:before="0" w:after="120" w:line="276" w:lineRule="auto"/>
        <w:jc w:val="both"/>
      </w:pPr>
      <w:r>
        <w:rPr>
          <w:rFonts w:ascii="Times New Roman" w:hAnsi="Times New Roman"/>
          <w:b w:val="0"/>
          <w:i w:val="0"/>
          <w:color w:val="222222"/>
          <w:sz w:val="24"/>
        </w:rPr>
        <w:t>Decisión sobre normalidad: Al arrojar p &lt; 0.001 en todas las variables originales, se rechaza formalmente H₀. Esto ratifica que ninguna variable bruta es estrictamente normal. Sin embargo, amparados en el Teorema del Límite Central y robustecidos mediante el empleo de transformaciones logarítmicas ln(X + 1), las inferencias sobre la media mantienen completa validez estadística.</w:t>
      </w:r>
    </w:p>
    <w:p>
      <w:pPr>
        <w:keepNext/>
        <w:spacing w:before="240" w:after="80"/>
        <w:jc w:val="left"/>
      </w:pPr>
      <w:r>
        <w:rPr>
          <w:rFonts w:ascii="Times New Roman" w:hAnsi="Times New Roman"/>
          <w:b/>
          <w:color w:val="2C3E50"/>
          <w:sz w:val="25"/>
        </w:rPr>
        <w:t>4.3 Evaluación de homogeneidad de varianzas mediante la prueba de Levene</w:t>
      </w:r>
    </w:p>
    <w:p>
      <w:pPr>
        <w:spacing w:before="0" w:after="120" w:line="276" w:lineRule="auto"/>
        <w:jc w:val="both"/>
      </w:pPr>
      <w:r>
        <w:rPr>
          <w:rFonts w:ascii="Times New Roman" w:hAnsi="Times New Roman"/>
          <w:b w:val="0"/>
          <w:i w:val="0"/>
          <w:color w:val="222222"/>
          <w:sz w:val="24"/>
        </w:rPr>
        <w:t>El supuesto de homocedasticidad (H₀: σ₁² = σ₂² vs. H₁: σ₁² ≠ σ₂², con α = 0.05) se evaluó mediante el estadístico de Levene basado en la media y en la mediana. Este supuesto determina la selección entre la prueba t de Student clásica (cuando las varianzas son homogéneas) y la prueba t de Welch con grados de libertad ajustados de Satterthwaite (cuando existe heterocedasticidad).</w:t>
      </w:r>
    </w:p>
    <w:p>
      <w:pPr>
        <w:spacing w:before="0" w:after="120" w:line="276" w:lineRule="auto"/>
        <w:jc w:val="center"/>
      </w:pPr>
      <w:r>
        <w:rPr>
          <w:rFonts w:ascii="Times New Roman" w:hAnsi="Times New Roman"/>
          <w:b/>
          <w:i w:val="0"/>
          <w:color w:val="1B365D"/>
          <w:sz w:val="21"/>
        </w:rPr>
        <w:t>Tabla 6. Prueba de Levene para igualdad de varianzas — Organization vs. User.</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Estadístico de Levene (F)</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Valor p</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¿Varianzas homogéneas?</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Prueba inferencial a usar</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3.8845</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0.0489</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No (p &lt; 0.05)</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t de Welch (varianzas desiguales)</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3.0677</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0.0801</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Sí (p ≥ 0.05)</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t de Student (varianzas iguales)</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ln_forks_1 (SPSS)</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7.3520</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0.0070</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No (p &lt; 0.05)</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t de Welch (varianzas desiguales)</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40.1906</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&lt; 0.0001</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 (p &lt; 0.05)</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t de Welch (varianzas desiguales)</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0.0664</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0.7968</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Sí (p ≥ 0.05)</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t de Student (varianzas iguales)</w:t>
            </w:r>
          </w:p>
        </w:tc>
      </w:tr>
    </w:tbl>
    <w:p>
      <w:pPr>
        <w:spacing w:before="0" w:after="120"/>
      </w:pPr>
    </w:p>
    <w:p>
      <w:pPr>
        <w:spacing w:before="0" w:after="120" w:line="276" w:lineRule="auto"/>
        <w:jc w:val="both"/>
      </w:pPr>
      <w:r>
        <w:rPr>
          <w:rFonts w:ascii="Times New Roman" w:hAnsi="Times New Roman"/>
          <w:b w:val="0"/>
          <w:i w:val="0"/>
          <w:color w:val="222222"/>
          <w:sz w:val="24"/>
        </w:rPr>
        <w:t>Interpretación: A diferencia de la normalidad, la homocedasticidad varía según la variable considerada. En el análisis central de ln_forks_1, Levene arroja F = 7.352, p = 0.007 &lt; 0.05, descartando la igualdad de varianzas y demandando el uso obligado de la prueba t de Welch, procedimiento que ajusta con exactitud los grados de libertad para garantizar la tasa de error tipo I.</w:t>
      </w:r>
    </w:p>
    <w:p>
      <w:pPr>
        <w:keepNext/>
        <w:spacing w:before="320" w:after="120"/>
        <w:jc w:val="left"/>
      </w:pPr>
      <w:r>
        <w:rPr>
          <w:rFonts w:ascii="Times New Roman" w:hAnsi="Times New Roman"/>
          <w:b/>
          <w:color w:val="1B365D"/>
          <w:sz w:val="28"/>
        </w:rPr>
        <w:t>5. Prueba de hipótesis para una muestra</w:t>
      </w:r>
    </w:p>
    <w:p>
      <w:pPr>
        <w:keepNext/>
        <w:spacing w:before="240" w:after="80"/>
        <w:jc w:val="left"/>
      </w:pPr>
      <w:r>
        <w:rPr>
          <w:rFonts w:ascii="Times New Roman" w:hAnsi="Times New Roman"/>
          <w:b/>
          <w:color w:val="2C3E50"/>
          <w:sz w:val="25"/>
        </w:rPr>
        <w:t>5.1 Pregunta de investigación y formulación de hipótesis</w:t>
      </w:r>
    </w:p>
    <w:p>
      <w:pPr>
        <w:spacing w:before="0" w:after="120" w:line="276" w:lineRule="auto"/>
        <w:jc w:val="both"/>
      </w:pPr>
      <w:r>
        <w:rPr>
          <w:rFonts w:ascii="Times New Roman" w:hAnsi="Times New Roman"/>
          <w:b w:val="0"/>
          <w:i w:val="0"/>
          <w:color w:val="222222"/>
          <w:sz w:val="24"/>
        </w:rPr>
        <w:t>Pregunta de investigación: ¿El promedio poblacional de popularidad (estrellas, stars) de los repositorios de código abierto en Python difiere significativamente del valor de referencia estándar de 9000 estrellas?</w:t>
      </w:r>
    </w:p>
    <w:p>
      <w:pPr>
        <w:spacing w:before="0" w:after="120" w:line="276" w:lineRule="auto"/>
        <w:jc w:val="both"/>
      </w:pPr>
      <w:r>
        <w:rPr>
          <w:rFonts w:ascii="Times New Roman" w:hAnsi="Times New Roman"/>
          <w:b w:val="0"/>
          <w:i w:val="0"/>
          <w:color w:val="222222"/>
          <w:sz w:val="24"/>
        </w:rPr>
        <w:t>Hipótesis estadística formulada (prueba bilateral o de dos colas):</w:t>
      </w:r>
    </w:p>
    <w:p>
      <w:pPr>
        <w:spacing w:before="0" w:after="120" w:line="276" w:lineRule="auto"/>
        <w:jc w:val="both"/>
      </w:pPr>
      <w:r>
        <w:rPr>
          <w:rFonts w:ascii="Times New Roman" w:hAnsi="Times New Roman"/>
          <w:b w:val="0"/>
          <w:i w:val="0"/>
          <w:color w:val="222222"/>
          <w:sz w:val="24"/>
        </w:rPr>
        <w:t>• Hipótesis Nula (H₀): μ = 9000  (El promedio poblacional de estrellas es igual a 9000).</w:t>
      </w:r>
    </w:p>
    <w:p>
      <w:pPr>
        <w:spacing w:before="0" w:after="120" w:line="276" w:lineRule="auto"/>
        <w:jc w:val="both"/>
      </w:pPr>
      <w:r>
        <w:rPr>
          <w:rFonts w:ascii="Times New Roman" w:hAnsi="Times New Roman"/>
          <w:b w:val="0"/>
          <w:i w:val="0"/>
          <w:color w:val="222222"/>
          <w:sz w:val="24"/>
        </w:rPr>
        <w:t>• Hipótesis Alterna (H₁): μ ≠ 9000  (El promedio poblacional de estrellas es diferente de 9000).</w:t>
      </w:r>
    </w:p>
    <w:p>
      <w:pPr>
        <w:keepNext/>
        <w:spacing w:before="240" w:after="80"/>
        <w:jc w:val="left"/>
      </w:pPr>
      <w:r>
        <w:rPr>
          <w:rFonts w:ascii="Times New Roman" w:hAnsi="Times New Roman"/>
          <w:b/>
          <w:color w:val="2C3E50"/>
          <w:sz w:val="25"/>
        </w:rPr>
        <w:t>5.2 Nivel de significancia y verificación de supuestos</w:t>
      </w:r>
    </w:p>
    <w:p>
      <w:pPr>
        <w:spacing w:before="0" w:after="120" w:line="276" w:lineRule="auto"/>
        <w:jc w:val="both"/>
      </w:pPr>
      <w:r>
        <w:rPr>
          <w:rFonts w:ascii="Times New Roman" w:hAnsi="Times New Roman"/>
          <w:b w:val="0"/>
          <w:i w:val="0"/>
          <w:color w:val="222222"/>
          <w:sz w:val="24"/>
        </w:rPr>
        <w:t>• Nivel de significancia establecido: α = 0.05.</w:t>
      </w:r>
    </w:p>
    <w:p>
      <w:pPr>
        <w:spacing w:before="0" w:after="120" w:line="276" w:lineRule="auto"/>
        <w:jc w:val="both"/>
      </w:pPr>
      <w:r>
        <w:rPr>
          <w:rFonts w:ascii="Times New Roman" w:hAnsi="Times New Roman"/>
          <w:b w:val="0"/>
          <w:i w:val="0"/>
          <w:color w:val="222222"/>
          <w:sz w:val="24"/>
        </w:rPr>
        <w:t>• Verificación de normalidad: En la prueba de Shapiro–Wilk ejecutada en SPSS sobre la variable stars (n = 1567), se obtuvo un estadístico W = 0.899 (gl = 1567, p &lt; 0.001) y en Kolmogorov–Smirnov con corrección Lilliefors D = 0.195 (p &lt; 0.001). Si bien se rechaza la normalidad estricta, el gran tamaño de la muestra (n = 1567 &gt;&gt; 30) asegura por el Teorema del Límite Central que la media muestral sigue una distribución normal, posibilitando la aplicación certera de la prueba t.</w:t>
      </w:r>
    </w:p>
    <w:p>
      <w:pPr>
        <w:keepNext/>
        <w:spacing w:before="240" w:after="80"/>
        <w:jc w:val="left"/>
      </w:pPr>
      <w:r>
        <w:rPr>
          <w:rFonts w:ascii="Times New Roman" w:hAnsi="Times New Roman"/>
          <w:b/>
          <w:color w:val="2C3E50"/>
          <w:sz w:val="25"/>
        </w:rPr>
        <w:t>5.3 Selección de la prueba estadística</w:t>
      </w:r>
    </w:p>
    <w:p>
      <w:pPr>
        <w:spacing w:before="0" w:after="120" w:line="276" w:lineRule="auto"/>
        <w:jc w:val="both"/>
      </w:pPr>
      <w:r>
        <w:rPr>
          <w:rFonts w:ascii="Times New Roman" w:hAnsi="Times New Roman"/>
          <w:b w:val="0"/>
          <w:i w:val="0"/>
          <w:color w:val="222222"/>
          <w:sz w:val="24"/>
        </w:rPr>
        <w:t>Se seleccionó la prueba t de Student para una muestra cuantitativa continua, calculando el estadístico t = (x̄ - μ₀) / (s / √n) con gl = n - 1 = 1566 grados de libertad.</w:t>
      </w:r>
    </w:p>
    <w:p>
      <w:pPr>
        <w:keepNext/>
        <w:spacing w:before="240" w:after="80"/>
        <w:jc w:val="left"/>
      </w:pPr>
      <w:r>
        <w:rPr>
          <w:rFonts w:ascii="Times New Roman" w:hAnsi="Times New Roman"/>
          <w:b/>
          <w:color w:val="2C3E50"/>
          <w:sz w:val="25"/>
        </w:rPr>
        <w:t>5.4 Presentación de resultados y p-valor en SPSS</w:t>
      </w:r>
    </w:p>
    <w:p>
      <w:pPr>
        <w:spacing w:before="0" w:after="120" w:line="276" w:lineRule="auto"/>
        <w:jc w:val="both"/>
      </w:pPr>
      <w:r>
        <w:rPr>
          <w:rFonts w:ascii="Times New Roman" w:hAnsi="Times New Roman"/>
          <w:b w:val="0"/>
          <w:i w:val="0"/>
          <w:color w:val="222222"/>
          <w:sz w:val="24"/>
        </w:rPr>
        <w:t>Los análisis procesados en IBM SPSS Statistics arrojaron los siguientes resultados muestrales:</w:t>
      </w:r>
    </w:p>
    <w:p>
      <w:pPr>
        <w:spacing w:before="0" w:after="120" w:line="276" w:lineRule="auto"/>
        <w:jc w:val="both"/>
      </w:pPr>
      <w:r>
        <w:rPr>
          <w:rFonts w:ascii="Times New Roman" w:hAnsi="Times New Roman"/>
          <w:b w:val="0"/>
          <w:i w:val="0"/>
          <w:color w:val="222222"/>
          <w:sz w:val="24"/>
        </w:rPr>
        <w:t>• Tamaño de la muestra: n = 1567 repositorios válidos (100.0 % de casos procesados, 0 % perdidos).</w:t>
      </w:r>
    </w:p>
    <w:p>
      <w:pPr>
        <w:spacing w:before="0" w:after="120" w:line="276" w:lineRule="auto"/>
        <w:jc w:val="both"/>
      </w:pPr>
      <w:r>
        <w:rPr>
          <w:rFonts w:ascii="Times New Roman" w:hAnsi="Times New Roman"/>
          <w:b w:val="0"/>
          <w:i w:val="0"/>
          <w:color w:val="222222"/>
          <w:sz w:val="24"/>
        </w:rPr>
        <w:t>• Media muestral observada: x̄ = 8963.8826 estrellas.</w:t>
      </w:r>
    </w:p>
    <w:p>
      <w:pPr>
        <w:spacing w:before="0" w:after="120" w:line="276" w:lineRule="auto"/>
        <w:jc w:val="both"/>
      </w:pPr>
      <w:r>
        <w:rPr>
          <w:rFonts w:ascii="Times New Roman" w:hAnsi="Times New Roman"/>
          <w:b w:val="0"/>
          <w:i w:val="0"/>
          <w:color w:val="222222"/>
          <w:sz w:val="24"/>
        </w:rPr>
        <w:t>• Desviación estándar muestral: s = 4411.5107 estrellas.</w:t>
      </w:r>
    </w:p>
    <w:p>
      <w:pPr>
        <w:spacing w:before="0" w:after="120" w:line="276" w:lineRule="auto"/>
        <w:jc w:val="both"/>
      </w:pPr>
      <w:r>
        <w:rPr>
          <w:rFonts w:ascii="Times New Roman" w:hAnsi="Times New Roman"/>
          <w:b w:val="0"/>
          <w:i w:val="0"/>
          <w:color w:val="222222"/>
          <w:sz w:val="24"/>
        </w:rPr>
        <w:t>• Error estándar de la media: SE = 111.4430 estrellas.</w:t>
      </w:r>
    </w:p>
    <w:p>
      <w:pPr>
        <w:spacing w:before="0" w:after="120" w:line="276" w:lineRule="auto"/>
        <w:jc w:val="both"/>
      </w:pPr>
      <w:r>
        <w:rPr>
          <w:rFonts w:ascii="Times New Roman" w:hAnsi="Times New Roman"/>
          <w:b w:val="0"/>
          <w:i w:val="0"/>
          <w:color w:val="222222"/>
          <w:sz w:val="24"/>
        </w:rPr>
        <w:t>• Valor de prueba de referencia: μ₀ = 9000 estrellas.</w:t>
      </w:r>
    </w:p>
    <w:p>
      <w:pPr>
        <w:spacing w:before="0" w:after="120" w:line="276" w:lineRule="auto"/>
        <w:jc w:val="both"/>
      </w:pPr>
      <w:r>
        <w:rPr>
          <w:rFonts w:ascii="Times New Roman" w:hAnsi="Times New Roman"/>
          <w:b w:val="0"/>
          <w:i w:val="0"/>
          <w:color w:val="222222"/>
          <w:sz w:val="24"/>
        </w:rPr>
        <w:t>• Diferencia de medias (x̄ - μ₀): -36.1174 estrellas.</w:t>
      </w:r>
    </w:p>
    <w:p>
      <w:pPr>
        <w:spacing w:before="0" w:after="120" w:line="276" w:lineRule="auto"/>
        <w:jc w:val="both"/>
      </w:pPr>
      <w:r>
        <w:rPr>
          <w:rFonts w:ascii="Times New Roman" w:hAnsi="Times New Roman"/>
          <w:b w:val="0"/>
          <w:i w:val="0"/>
          <w:color w:val="222222"/>
          <w:sz w:val="24"/>
        </w:rPr>
        <w:t>• Intervalo de confianza al 95 % de la diferencia: [-254.711 ; 182.476].</w:t>
      </w:r>
    </w:p>
    <w:p>
      <w:pPr>
        <w:spacing w:before="0" w:after="120" w:line="276" w:lineRule="auto"/>
        <w:jc w:val="both"/>
      </w:pPr>
      <w:r>
        <w:rPr>
          <w:rFonts w:ascii="Times New Roman" w:hAnsi="Times New Roman"/>
          <w:b w:val="0"/>
          <w:i w:val="0"/>
          <w:color w:val="222222"/>
          <w:sz w:val="24"/>
        </w:rPr>
        <w:t>• Estadístico t calculado: t = -0.324.</w:t>
      </w:r>
    </w:p>
    <w:p>
      <w:pPr>
        <w:spacing w:before="0" w:after="120" w:line="276" w:lineRule="auto"/>
        <w:jc w:val="both"/>
      </w:pPr>
      <w:r>
        <w:rPr>
          <w:rFonts w:ascii="Times New Roman" w:hAnsi="Times New Roman"/>
          <w:b w:val="0"/>
          <w:i w:val="0"/>
          <w:color w:val="222222"/>
          <w:sz w:val="24"/>
        </w:rPr>
        <w:t>• Grados de libertad: gl = 1566.</w:t>
      </w:r>
    </w:p>
    <w:p>
      <w:pPr>
        <w:spacing w:before="0" w:after="120" w:line="276" w:lineRule="auto"/>
        <w:jc w:val="both"/>
      </w:pPr>
      <w:r>
        <w:rPr>
          <w:rFonts w:ascii="Times New Roman" w:hAnsi="Times New Roman"/>
          <w:b w:val="0"/>
          <w:i w:val="0"/>
          <w:color w:val="222222"/>
          <w:sz w:val="24"/>
        </w:rPr>
        <w:t>• Significancia bilateral (p-valor de dos factores): p = 0.746 (p de un factor = 0.373).</w:t>
      </w:r>
    </w:p>
    <w:p>
      <w:pPr>
        <w:keepNext/>
        <w:spacing w:before="240" w:after="80"/>
        <w:jc w:val="left"/>
      </w:pPr>
      <w:r>
        <w:rPr>
          <w:rFonts w:ascii="Times New Roman" w:hAnsi="Times New Roman"/>
          <w:b/>
          <w:color w:val="2C3E50"/>
          <w:sz w:val="25"/>
        </w:rPr>
        <w:t>5.5 Decisión estadística e interpretación contextual</w:t>
      </w:r>
    </w:p>
    <w:p>
      <w:pPr>
        <w:spacing w:before="0" w:after="120" w:line="276" w:lineRule="auto"/>
        <w:jc w:val="both"/>
      </w:pPr>
      <w:r>
        <w:rPr>
          <w:rFonts w:ascii="Times New Roman" w:hAnsi="Times New Roman"/>
          <w:b w:val="0"/>
          <w:i w:val="0"/>
          <w:color w:val="222222"/>
          <w:sz w:val="24"/>
        </w:rPr>
        <w:t>Regla de decisión inferencial:</w:t>
      </w:r>
    </w:p>
    <w:p>
      <w:pPr>
        <w:spacing w:before="0" w:after="120" w:line="276" w:lineRule="auto"/>
        <w:jc w:val="both"/>
      </w:pPr>
      <w:r>
        <w:rPr>
          <w:rFonts w:ascii="Times New Roman" w:hAnsi="Times New Roman"/>
          <w:b w:val="0"/>
          <w:i w:val="0"/>
          <w:color w:val="222222"/>
          <w:sz w:val="24"/>
        </w:rPr>
        <w:t>• Si p-valor ≥ 0.05 → No se rechaza H₀.</w:t>
      </w:r>
    </w:p>
    <w:p>
      <w:pPr>
        <w:spacing w:before="0" w:after="120" w:line="276" w:lineRule="auto"/>
        <w:jc w:val="both"/>
      </w:pPr>
      <w:r>
        <w:rPr>
          <w:rFonts w:ascii="Times New Roman" w:hAnsi="Times New Roman"/>
          <w:b w:val="0"/>
          <w:i w:val="0"/>
          <w:color w:val="222222"/>
          <w:sz w:val="24"/>
        </w:rPr>
        <w:t>• Si p-valor &lt; 0.05 → Se rechaza H₀ a favor de H₁.</w:t>
      </w:r>
    </w:p>
    <w:p>
      <w:pPr>
        <w:spacing w:before="0" w:after="120" w:line="276" w:lineRule="auto"/>
        <w:jc w:val="both"/>
      </w:pPr>
      <w:r>
        <w:rPr>
          <w:rFonts w:ascii="Times New Roman" w:hAnsi="Times New Roman"/>
          <w:b w:val="0"/>
          <w:i w:val="0"/>
          <w:color w:val="222222"/>
          <w:sz w:val="24"/>
        </w:rPr>
        <w:t>Decisión estadística: Dado que el p-valor obtenido (p = 0.746) es ampliamente superior al nivel de significancia α = 0.05, NO SE RECHAZA LA HIPÓTESIS NULA (H₀).</w:t>
      </w:r>
    </w:p>
    <w:p>
      <w:pPr>
        <w:spacing w:before="0" w:after="120" w:line="276" w:lineRule="auto"/>
        <w:jc w:val="both"/>
      </w:pPr>
      <w:r>
        <w:rPr>
          <w:rFonts w:ascii="Times New Roman" w:hAnsi="Times New Roman"/>
          <w:b w:val="0"/>
          <w:i w:val="0"/>
          <w:color w:val="222222"/>
          <w:sz w:val="24"/>
        </w:rPr>
        <w:t>Interpretación en el contexto del problema: No existe evidencia estadística suficiente para afirmar que la popularidad promedio de los repositorios de software en Python difiera del estándar de 9000 estrellas. La discrepancia observada de 36.12 estrellas representa una variación aleatoria atribuible al muestreo y carece de significancia práctica y estadística. En consecuencia, se concluye con un 95 % de confianza que el nivel de respaldo comunitario de los proyectos analizados coincide estrechamente con el valor de referencia de 9000 estrellas.</w:t>
      </w:r>
    </w:p>
    <w:p>
      <w:pPr>
        <w:keepNext/>
        <w:spacing w:before="240" w:after="80"/>
        <w:jc w:val="left"/>
      </w:pPr>
      <w:r>
        <w:rPr>
          <w:rFonts w:ascii="Times New Roman" w:hAnsi="Times New Roman"/>
          <w:b/>
          <w:color w:val="2C3E50"/>
          <w:sz w:val="25"/>
        </w:rPr>
        <w:t>5.6 Tamaño del efecto (d de Cohen y corrección de Hedges)</w:t>
      </w:r>
    </w:p>
    <w:p>
      <w:pPr>
        <w:spacing w:before="0" w:after="120" w:line="276" w:lineRule="auto"/>
        <w:jc w:val="both"/>
      </w:pPr>
      <w:r>
        <w:rPr>
          <w:rFonts w:ascii="Times New Roman" w:hAnsi="Times New Roman"/>
          <w:b w:val="0"/>
          <w:i w:val="0"/>
          <w:color w:val="222222"/>
          <w:sz w:val="24"/>
        </w:rPr>
        <w:t>Para complementar el p-valor e ilustrar la magnitud real de la diferencia observada, se calcularon las métricas de tamaño del efecto estandarizadas en SPSS:</w:t>
      </w:r>
    </w:p>
    <w:p>
      <w:pPr>
        <w:spacing w:before="0" w:after="120" w:line="276" w:lineRule="auto"/>
        <w:jc w:val="both"/>
      </w:pPr>
      <w:r>
        <w:rPr>
          <w:rFonts w:ascii="Times New Roman" w:hAnsi="Times New Roman"/>
          <w:b w:val="0"/>
          <w:i w:val="0"/>
          <w:color w:val="222222"/>
          <w:sz w:val="24"/>
        </w:rPr>
        <w:t>• d de Cohen: d = (x̄ - μ₀) / s = -0.008 (IC 95 %: [-0.058 ; 0.041]). Denominador estandarizador: s = 4411.5107.</w:t>
      </w:r>
    </w:p>
    <w:p>
      <w:pPr>
        <w:spacing w:before="0" w:after="120" w:line="276" w:lineRule="auto"/>
        <w:jc w:val="both"/>
      </w:pPr>
      <w:r>
        <w:rPr>
          <w:rFonts w:ascii="Times New Roman" w:hAnsi="Times New Roman"/>
          <w:b w:val="0"/>
          <w:i w:val="0"/>
          <w:color w:val="222222"/>
          <w:sz w:val="24"/>
        </w:rPr>
        <w:t>• Corrección de Hedges: g = -0.008 (IC 95 %: [-0.058 ; 0.041]). Factor estandarizador corregido: 4413.6249.</w:t>
      </w:r>
    </w:p>
    <w:p>
      <w:pPr>
        <w:spacing w:before="0" w:after="120" w:line="276" w:lineRule="auto"/>
        <w:jc w:val="both"/>
      </w:pPr>
      <w:r>
        <w:rPr>
          <w:rFonts w:ascii="Times New Roman" w:hAnsi="Times New Roman"/>
          <w:b w:val="0"/>
          <w:i w:val="0"/>
          <w:color w:val="222222"/>
          <w:sz w:val="24"/>
        </w:rPr>
        <w:t>Interpretación del tamaño del efecto: Un valor de |d| = 0.008 se clasifica inequívocamente como un efecto nulo o trivial (|d| &lt; 0.20), corroborando que prácticamente no existe distancia sustantiva entre la realidad observada en el código abierto y el umbral de 9000 estrellas.</w:t>
      </w:r>
    </w:p>
    <w:p>
      <w:pPr>
        <w:keepNext/>
        <w:spacing w:before="160" w:after="40"/>
        <w:jc w:val="center"/>
      </w:pPr>
      <w:r>
        <w:drawing>
          <wp:inline xmlns:a="http://schemas.openxmlformats.org/drawingml/2006/main" xmlns:pic="http://schemas.openxmlformats.org/drawingml/2006/picture">
            <wp:extent cx="5303520" cy="5737444"/>
            <wp:docPr id="2" name="Picture 2"/>
            <wp:cNvGraphicFramePr>
              <a:graphicFrameLocks noChangeAspect="1"/>
            </wp:cNvGraphicFramePr>
            <a:graphic>
              <a:graphicData uri="http://schemas.openxmlformats.org/drawingml/2006/picture">
                <pic:pic>
                  <pic:nvPicPr>
                    <pic:cNvPr id="0" name="image15.png"/>
                    <pic:cNvPicPr/>
                  </pic:nvPicPr>
                  <pic:blipFill>
                    <a:blip r:embed="rId10"/>
                    <a:stretch>
                      <a:fillRect/>
                    </a:stretch>
                  </pic:blipFill>
                  <pic:spPr>
                    <a:xfrm>
                      <a:off x="0" y="0"/>
                      <a:ext cx="5303520" cy="5737444"/>
                    </a:xfrm>
                    <a:prstGeom prst="rect"/>
                  </pic:spPr>
                </pic:pic>
              </a:graphicData>
            </a:graphic>
          </wp:inline>
        </w:drawing>
      </w:r>
    </w:p>
    <w:p>
      <w:pPr>
        <w:spacing w:before="40" w:after="200"/>
        <w:jc w:val="center"/>
      </w:pPr>
      <w:r>
        <w:rPr>
          <w:rFonts w:ascii="Times New Roman" w:hAnsi="Times New Roman"/>
          <w:b/>
          <w:i/>
          <w:color w:val="555555"/>
          <w:sz w:val="20"/>
        </w:rPr>
        <w:t>Figura 1. Resumen de procesamiento de casos, estadísticos descriptivos y pruebas de normalidad de stars en SPSS.</w:t>
      </w:r>
    </w:p>
    <w:p>
      <w:pPr>
        <w:keepNext/>
        <w:spacing w:before="160" w:after="40"/>
        <w:jc w:val="center"/>
      </w:pPr>
      <w:r>
        <w:drawing>
          <wp:inline xmlns:a="http://schemas.openxmlformats.org/drawingml/2006/main" xmlns:pic="http://schemas.openxmlformats.org/drawingml/2006/picture">
            <wp:extent cx="5303520" cy="3483562"/>
            <wp:docPr id="3" name="Picture 3"/>
            <wp:cNvGraphicFramePr>
              <a:graphicFrameLocks noChangeAspect="1"/>
            </wp:cNvGraphicFramePr>
            <a:graphic>
              <a:graphicData uri="http://schemas.openxmlformats.org/drawingml/2006/picture">
                <pic:pic>
                  <pic:nvPicPr>
                    <pic:cNvPr id="0" name="image9.png"/>
                    <pic:cNvPicPr/>
                  </pic:nvPicPr>
                  <pic:blipFill>
                    <a:blip r:embed="rId11"/>
                    <a:stretch>
                      <a:fillRect/>
                    </a:stretch>
                  </pic:blipFill>
                  <pic:spPr>
                    <a:xfrm>
                      <a:off x="0" y="0"/>
                      <a:ext cx="5303520" cy="3483562"/>
                    </a:xfrm>
                    <a:prstGeom prst="rect"/>
                  </pic:spPr>
                </pic:pic>
              </a:graphicData>
            </a:graphic>
          </wp:inline>
        </w:drawing>
      </w:r>
    </w:p>
    <w:p>
      <w:pPr>
        <w:spacing w:before="40" w:after="200"/>
        <w:jc w:val="center"/>
      </w:pPr>
      <w:r>
        <w:rPr>
          <w:rFonts w:ascii="Times New Roman" w:hAnsi="Times New Roman"/>
          <w:b/>
          <w:i/>
          <w:color w:val="555555"/>
          <w:sz w:val="20"/>
        </w:rPr>
        <w:t>Figura 2. Histograma de frecuencias de la variable stars con curva de ajuste y parámetros muestrales.</w:t>
      </w:r>
    </w:p>
    <w:p>
      <w:pPr>
        <w:keepNext/>
        <w:spacing w:before="160" w:after="40"/>
        <w:jc w:val="center"/>
      </w:pPr>
      <w:r>
        <w:drawing>
          <wp:inline xmlns:a="http://schemas.openxmlformats.org/drawingml/2006/main" xmlns:pic="http://schemas.openxmlformats.org/drawingml/2006/picture">
            <wp:extent cx="5303520" cy="3096240"/>
            <wp:docPr id="4" name="Picture 4"/>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303520" cy="3096240"/>
                    </a:xfrm>
                    <a:prstGeom prst="rect"/>
                  </pic:spPr>
                </pic:pic>
              </a:graphicData>
            </a:graphic>
          </wp:inline>
        </w:drawing>
      </w:r>
    </w:p>
    <w:p>
      <w:pPr>
        <w:spacing w:before="40" w:after="200"/>
        <w:jc w:val="center"/>
      </w:pPr>
      <w:r>
        <w:rPr>
          <w:rFonts w:ascii="Times New Roman" w:hAnsi="Times New Roman"/>
          <w:b/>
          <w:i/>
          <w:color w:val="555555"/>
          <w:sz w:val="20"/>
        </w:rPr>
        <w:t>Figura 3. Gráfico Q-Q normal de la variable stars frente a los cuantiles teóricos esperados.</w:t>
      </w:r>
    </w:p>
    <w:p>
      <w:pPr>
        <w:keepNext/>
        <w:spacing w:before="160" w:after="40"/>
        <w:jc w:val="center"/>
      </w:pPr>
      <w:r>
        <w:drawing>
          <wp:inline xmlns:a="http://schemas.openxmlformats.org/drawingml/2006/main" xmlns:pic="http://schemas.openxmlformats.org/drawingml/2006/picture">
            <wp:extent cx="5303520" cy="3092222"/>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5303520" cy="3092222"/>
                    </a:xfrm>
                    <a:prstGeom prst="rect"/>
                  </pic:spPr>
                </pic:pic>
              </a:graphicData>
            </a:graphic>
          </wp:inline>
        </w:drawing>
      </w:r>
    </w:p>
    <w:p>
      <w:pPr>
        <w:spacing w:before="40" w:after="200"/>
        <w:jc w:val="center"/>
      </w:pPr>
      <w:r>
        <w:rPr>
          <w:rFonts w:ascii="Times New Roman" w:hAnsi="Times New Roman"/>
          <w:b/>
          <w:i/>
          <w:color w:val="555555"/>
          <w:sz w:val="20"/>
        </w:rPr>
        <w:t>Figura 4. Gráfico Q-Q normal sin tendencia (detrended) para las desviaciones de normalidad de stars.</w:t>
      </w:r>
    </w:p>
    <w:p>
      <w:pPr>
        <w:keepNext/>
        <w:spacing w:before="160" w:after="40"/>
        <w:jc w:val="center"/>
      </w:pPr>
      <w:r>
        <w:drawing>
          <wp:inline xmlns:a="http://schemas.openxmlformats.org/drawingml/2006/main" xmlns:pic="http://schemas.openxmlformats.org/drawingml/2006/picture">
            <wp:extent cx="5303520" cy="3237614"/>
            <wp:docPr id="6" name="Picture 6"/>
            <wp:cNvGraphicFramePr>
              <a:graphicFrameLocks noChangeAspect="1"/>
            </wp:cNvGraphicFramePr>
            <a:graphic>
              <a:graphicData uri="http://schemas.openxmlformats.org/drawingml/2006/picture">
                <pic:pic>
                  <pic:nvPicPr>
                    <pic:cNvPr id="0" name="image11.png"/>
                    <pic:cNvPicPr/>
                  </pic:nvPicPr>
                  <pic:blipFill>
                    <a:blip r:embed="rId14"/>
                    <a:stretch>
                      <a:fillRect/>
                    </a:stretch>
                  </pic:blipFill>
                  <pic:spPr>
                    <a:xfrm>
                      <a:off x="0" y="0"/>
                      <a:ext cx="5303520" cy="3237614"/>
                    </a:xfrm>
                    <a:prstGeom prst="rect"/>
                  </pic:spPr>
                </pic:pic>
              </a:graphicData>
            </a:graphic>
          </wp:inline>
        </w:drawing>
      </w:r>
    </w:p>
    <w:p>
      <w:pPr>
        <w:spacing w:before="40" w:after="200"/>
        <w:jc w:val="center"/>
      </w:pPr>
      <w:r>
        <w:rPr>
          <w:rFonts w:ascii="Times New Roman" w:hAnsi="Times New Roman"/>
          <w:b/>
          <w:i/>
          <w:color w:val="555555"/>
          <w:sz w:val="20"/>
        </w:rPr>
        <w:t>Figura 5. Diagrama de caja y bigotes (Boxplot) de stars mostrando cuartiles y rango intercuartílico.</w:t>
      </w:r>
    </w:p>
    <w:p>
      <w:pPr>
        <w:keepNext/>
        <w:spacing w:before="160" w:after="40"/>
        <w:jc w:val="center"/>
      </w:pPr>
      <w:r>
        <w:drawing>
          <wp:inline xmlns:a="http://schemas.openxmlformats.org/drawingml/2006/main" xmlns:pic="http://schemas.openxmlformats.org/drawingml/2006/picture">
            <wp:extent cx="5303520" cy="4880860"/>
            <wp:docPr id="7" name="Picture 7"/>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303520" cy="4880860"/>
                    </a:xfrm>
                    <a:prstGeom prst="rect"/>
                  </pic:spPr>
                </pic:pic>
              </a:graphicData>
            </a:graphic>
          </wp:inline>
        </w:drawing>
      </w:r>
    </w:p>
    <w:p>
      <w:pPr>
        <w:spacing w:before="40" w:after="200"/>
        <w:jc w:val="center"/>
      </w:pPr>
      <w:r>
        <w:rPr>
          <w:rFonts w:ascii="Times New Roman" w:hAnsi="Times New Roman"/>
          <w:b/>
          <w:i/>
          <w:color w:val="555555"/>
          <w:sz w:val="20"/>
        </w:rPr>
        <w:t>Figura 6. Tabla SPSS de Estadísticas para una muestra, Prueba t (valor de prueba = 9000) y Tamaños de efecto.</w:t>
      </w:r>
    </w:p>
    <w:p>
      <w:pPr>
        <w:keepNext/>
        <w:spacing w:before="240" w:after="80"/>
        <w:jc w:val="left"/>
      </w:pPr>
      <w:r>
        <w:rPr>
          <w:rFonts w:ascii="Times New Roman" w:hAnsi="Times New Roman"/>
          <w:b/>
          <w:color w:val="2C3E50"/>
          <w:sz w:val="25"/>
        </w:rPr>
        <w:t>5.7 Análisis complementario con valor de referencia 5000 estrellas</w:t>
      </w:r>
    </w:p>
    <w:p>
      <w:pPr>
        <w:spacing w:before="0" w:after="120" w:line="276" w:lineRule="auto"/>
        <w:jc w:val="both"/>
      </w:pPr>
      <w:r>
        <w:rPr>
          <w:rFonts w:ascii="Times New Roman" w:hAnsi="Times New Roman"/>
          <w:b w:val="0"/>
          <w:i w:val="0"/>
          <w:color w:val="222222"/>
          <w:sz w:val="24"/>
        </w:rPr>
        <w:t>Como contraste metodológico, si se evalúa la pregunta frente al umbral histórico de popularidad mínima comunitaria de μ₀ = 5000 estrellas (H₁: μ ≠ 5000), la prueba t arroja un estadístico t = 35.57 (gl = 1566, p &lt; 0.0001), rechazándose contundentemente H₀ con un tamaño del efecto grande (d = 0.90, diferencia de +3963.88 estrellas). Esto demuestra que, mientras el ecosistema Python sobrepasa holgadamente el umbral de 5000 estrellas, se estabiliza con notable precisión alrededor de la cota de 9000 estrellas.</w:t>
      </w:r>
    </w:p>
    <w:p>
      <w:pPr>
        <w:keepNext/>
        <w:spacing w:before="320" w:after="120"/>
        <w:jc w:val="left"/>
      </w:pPr>
      <w:r>
        <w:rPr>
          <w:rFonts w:ascii="Times New Roman" w:hAnsi="Times New Roman"/>
          <w:b/>
          <w:color w:val="1B365D"/>
          <w:sz w:val="28"/>
        </w:rPr>
        <w:t>6. Comparación de promedios entre dos grupos independientes</w:t>
      </w:r>
    </w:p>
    <w:p>
      <w:pPr>
        <w:keepNext/>
        <w:spacing w:before="240" w:after="80"/>
        <w:jc w:val="left"/>
      </w:pPr>
      <w:r>
        <w:rPr>
          <w:rFonts w:ascii="Times New Roman" w:hAnsi="Times New Roman"/>
          <w:b/>
          <w:color w:val="2C3E50"/>
          <w:sz w:val="25"/>
        </w:rPr>
        <w:t>6.1 Comparación principal de ln_forks_1 según Tipo de Propietario (Organization vs. User)</w:t>
      </w:r>
    </w:p>
    <w:p>
      <w:pPr>
        <w:spacing w:before="0" w:after="120" w:line="276" w:lineRule="auto"/>
        <w:jc w:val="both"/>
      </w:pPr>
      <w:r>
        <w:rPr>
          <w:rFonts w:ascii="Times New Roman" w:hAnsi="Times New Roman"/>
          <w:b w:val="0"/>
          <w:i w:val="0"/>
          <w:color w:val="222222"/>
          <w:sz w:val="24"/>
        </w:rPr>
        <w:t>Pregunta de investigación: ¿Existen diferencias estadísticamente significativas en el nivel de bifurcaciones transformadas (ln_forks_1) entre repositorios gestionados por Organizaciones (empresas, fundaciones) y repositorios mantenidos por Usuarios individuales?</w:t>
      </w:r>
    </w:p>
    <w:p>
      <w:pPr>
        <w:keepNext/>
        <w:spacing w:before="160" w:after="60"/>
        <w:jc w:val="left"/>
      </w:pPr>
      <w:r>
        <w:rPr>
          <w:rFonts w:ascii="Times New Roman" w:hAnsi="Times New Roman"/>
          <w:b/>
          <w:i/>
          <w:color w:val="34495E"/>
          <w:sz w:val="24"/>
        </w:rPr>
        <w:t>6.1.1 Definición de grupos y formulación de hipótesis</w:t>
      </w:r>
    </w:p>
    <w:p>
      <w:pPr>
        <w:spacing w:before="0" w:after="120" w:line="276" w:lineRule="auto"/>
        <w:jc w:val="both"/>
      </w:pPr>
      <w:r>
        <w:rPr>
          <w:rFonts w:ascii="Times New Roman" w:hAnsi="Times New Roman"/>
          <w:b w:val="0"/>
          <w:i w:val="0"/>
          <w:color w:val="222222"/>
          <w:sz w:val="24"/>
        </w:rPr>
        <w:t>• Grupo 1: Organization (owner2 = 1.00; n₁ = 878 repositorios).</w:t>
      </w:r>
    </w:p>
    <w:p>
      <w:pPr>
        <w:spacing w:before="0" w:after="120" w:line="276" w:lineRule="auto"/>
        <w:jc w:val="both"/>
      </w:pPr>
      <w:r>
        <w:rPr>
          <w:rFonts w:ascii="Times New Roman" w:hAnsi="Times New Roman"/>
          <w:b w:val="0"/>
          <w:i w:val="0"/>
          <w:color w:val="222222"/>
          <w:sz w:val="24"/>
        </w:rPr>
        <w:t>• Grupo 2: User (owner2 = 2.00; n₂ = 689 repositorios).</w:t>
      </w:r>
    </w:p>
    <w:p>
      <w:pPr>
        <w:spacing w:before="0" w:after="120" w:line="276" w:lineRule="auto"/>
        <w:jc w:val="both"/>
      </w:pPr>
      <w:r>
        <w:rPr>
          <w:rFonts w:ascii="Times New Roman" w:hAnsi="Times New Roman"/>
          <w:b w:val="0"/>
          <w:i w:val="0"/>
          <w:color w:val="222222"/>
          <w:sz w:val="24"/>
        </w:rPr>
        <w:t>Hipótesis formulada (bilateral, nivel de significancia α = 0.05):</w:t>
      </w:r>
    </w:p>
    <w:p>
      <w:pPr>
        <w:spacing w:before="0" w:after="120" w:line="276" w:lineRule="auto"/>
        <w:jc w:val="both"/>
      </w:pPr>
      <w:r>
        <w:rPr>
          <w:rFonts w:ascii="Times New Roman" w:hAnsi="Times New Roman"/>
          <w:b w:val="0"/>
          <w:i w:val="0"/>
          <w:color w:val="222222"/>
          <w:sz w:val="24"/>
        </w:rPr>
        <w:t>• H₀: μ_Org = μ_User  (El promedio de ln_forks_1 es igual entre organizaciones y usuarios individuales).</w:t>
      </w:r>
    </w:p>
    <w:p>
      <w:pPr>
        <w:spacing w:before="0" w:after="120" w:line="276" w:lineRule="auto"/>
        <w:jc w:val="both"/>
      </w:pPr>
      <w:r>
        <w:rPr>
          <w:rFonts w:ascii="Times New Roman" w:hAnsi="Times New Roman"/>
          <w:b w:val="0"/>
          <w:i w:val="0"/>
          <w:color w:val="222222"/>
          <w:sz w:val="24"/>
        </w:rPr>
        <w:t>• H₁: μ_Org ≠ μ_User  (El promedio de ln_forks_1 es diferente entre organizaciones y usuarios individuales).</w:t>
      </w:r>
    </w:p>
    <w:p>
      <w:pPr>
        <w:keepNext/>
        <w:spacing w:before="160" w:after="60"/>
        <w:jc w:val="left"/>
      </w:pPr>
      <w:r>
        <w:rPr>
          <w:rFonts w:ascii="Times New Roman" w:hAnsi="Times New Roman"/>
          <w:b/>
          <w:i/>
          <w:color w:val="34495E"/>
          <w:sz w:val="24"/>
        </w:rPr>
        <w:t>6.1.2 Verificación de supuestos: Normalidad y Levene</w:t>
      </w:r>
    </w:p>
    <w:p>
      <w:pPr>
        <w:spacing w:before="0" w:after="120" w:line="276" w:lineRule="auto"/>
        <w:jc w:val="both"/>
      </w:pPr>
      <w:r>
        <w:rPr>
          <w:rFonts w:ascii="Times New Roman" w:hAnsi="Times New Roman"/>
          <w:b w:val="0"/>
          <w:i w:val="0"/>
          <w:color w:val="222222"/>
          <w:sz w:val="24"/>
        </w:rPr>
        <w:t>• Normalidad por grupo: La prueba de Shapiro–Wilk sobre ln_forks_1 arroja W = 0.9774 (p &lt; 0.001) para Organizaciones y W = 0.9972 (p = 0.2974) para Usuarios individuales. El grupo de usuarios individuales cumple satisfactoriamente la normalidad al 5 %, mientras que el grupo de organizaciones se ampara en el Teorema del Límite Central (n₁ = 878 &gt;&gt; 30).</w:t>
      </w:r>
    </w:p>
    <w:p>
      <w:pPr>
        <w:spacing w:before="0" w:after="120" w:line="276" w:lineRule="auto"/>
        <w:jc w:val="both"/>
      </w:pPr>
      <w:r>
        <w:rPr>
          <w:rFonts w:ascii="Times New Roman" w:hAnsi="Times New Roman"/>
          <w:b w:val="0"/>
          <w:i w:val="0"/>
          <w:color w:val="222222"/>
          <w:sz w:val="24"/>
        </w:rPr>
        <w:t>• Homogeneidad de varianzas (Prueba de Levene): En la salida de SPSS, la prueba de Levene arroja un estadístico F = 7.352 con una significancia de p = 0.007. Dado que p = 0.007 &lt; 0.05, se RECHAZA la hipótesis de igualdad de varianzas. Las varianzas entre grupos son heterogéneas, descartando el uso de la prueba t de Student clásica.</w:t>
      </w:r>
    </w:p>
    <w:p>
      <w:pPr>
        <w:keepNext/>
        <w:spacing w:before="160" w:after="60"/>
        <w:jc w:val="left"/>
      </w:pPr>
      <w:r>
        <w:rPr>
          <w:rFonts w:ascii="Times New Roman" w:hAnsi="Times New Roman"/>
          <w:b/>
          <w:i/>
          <w:color w:val="34495E"/>
          <w:sz w:val="24"/>
        </w:rPr>
        <w:t>6.1.3 Selección y aplicación de la prueba: t de Welch</w:t>
      </w:r>
    </w:p>
    <w:p>
      <w:pPr>
        <w:spacing w:before="0" w:after="120" w:line="276" w:lineRule="auto"/>
        <w:jc w:val="both"/>
      </w:pPr>
      <w:r>
        <w:rPr>
          <w:rFonts w:ascii="Times New Roman" w:hAnsi="Times New Roman"/>
          <w:b w:val="0"/>
          <w:i w:val="0"/>
          <w:color w:val="222222"/>
          <w:sz w:val="24"/>
        </w:rPr>
        <w:t>Ante la heterocedasticidad comprobada, se selecciona la prueba t de Welch ('No se asumen varianzas iguales'), la cual corrige los grados de libertad mediante la fórmula de Welch–Satterthwaite:</w:t>
      </w:r>
    </w:p>
    <w:p>
      <w:pPr>
        <w:spacing w:before="0" w:after="120" w:line="276" w:lineRule="auto"/>
        <w:jc w:val="both"/>
      </w:pPr>
      <w:r>
        <w:rPr>
          <w:rFonts w:ascii="Times New Roman" w:hAnsi="Times New Roman"/>
          <w:b w:val="0"/>
          <w:i w:val="0"/>
          <w:color w:val="222222"/>
          <w:sz w:val="24"/>
        </w:rPr>
        <w:t>• Media muestral Organization: x̄₁ = 6.9141 (s₁ = 0.7477; SE₁ = 0.0252).</w:t>
      </w:r>
    </w:p>
    <w:p>
      <w:pPr>
        <w:spacing w:before="0" w:after="120" w:line="276" w:lineRule="auto"/>
        <w:jc w:val="both"/>
      </w:pPr>
      <w:r>
        <w:rPr>
          <w:rFonts w:ascii="Times New Roman" w:hAnsi="Times New Roman"/>
          <w:b w:val="0"/>
          <w:i w:val="0"/>
          <w:color w:val="222222"/>
          <w:sz w:val="24"/>
        </w:rPr>
        <w:t>• Media muestral User: x̄₂ = 6.8701 (s₂ = 0.8030; SE₂ = 0.0306).</w:t>
      </w:r>
    </w:p>
    <w:p>
      <w:pPr>
        <w:spacing w:before="0" w:after="120" w:line="276" w:lineRule="auto"/>
        <w:jc w:val="both"/>
      </w:pPr>
      <w:r>
        <w:rPr>
          <w:rFonts w:ascii="Times New Roman" w:hAnsi="Times New Roman"/>
          <w:b w:val="0"/>
          <w:i w:val="0"/>
          <w:color w:val="222222"/>
          <w:sz w:val="24"/>
        </w:rPr>
        <w:t>• Diferencia de medias (x̄₁ - x̄₂): 0.04391 unidades logarítmicas.</w:t>
      </w:r>
    </w:p>
    <w:p>
      <w:pPr>
        <w:spacing w:before="0" w:after="120" w:line="276" w:lineRule="auto"/>
        <w:jc w:val="both"/>
      </w:pPr>
      <w:r>
        <w:rPr>
          <w:rFonts w:ascii="Times New Roman" w:hAnsi="Times New Roman"/>
          <w:b w:val="0"/>
          <w:i w:val="0"/>
          <w:color w:val="222222"/>
          <w:sz w:val="24"/>
        </w:rPr>
        <w:t>• Error estándar de la diferencia: SE_dif = 0.03966.</w:t>
      </w:r>
    </w:p>
    <w:p>
      <w:pPr>
        <w:spacing w:before="0" w:after="120" w:line="276" w:lineRule="auto"/>
        <w:jc w:val="both"/>
      </w:pPr>
      <w:r>
        <w:rPr>
          <w:rFonts w:ascii="Times New Roman" w:hAnsi="Times New Roman"/>
          <w:b w:val="0"/>
          <w:i w:val="0"/>
          <w:color w:val="222222"/>
          <w:sz w:val="24"/>
        </w:rPr>
        <w:t>• Intervalo de confianza al 95 % de la diferencia: [-0.03388 ; 0.12171].</w:t>
      </w:r>
    </w:p>
    <w:p>
      <w:pPr>
        <w:spacing w:before="0" w:after="120" w:line="276" w:lineRule="auto"/>
        <w:jc w:val="both"/>
      </w:pPr>
      <w:r>
        <w:rPr>
          <w:rFonts w:ascii="Times New Roman" w:hAnsi="Times New Roman"/>
          <w:b w:val="0"/>
          <w:i w:val="0"/>
          <w:color w:val="222222"/>
          <w:sz w:val="24"/>
        </w:rPr>
        <w:t>• Estadístico t de Welch: t = 1.107.</w:t>
      </w:r>
    </w:p>
    <w:p>
      <w:pPr>
        <w:spacing w:before="0" w:after="120" w:line="276" w:lineRule="auto"/>
        <w:jc w:val="both"/>
      </w:pPr>
      <w:r>
        <w:rPr>
          <w:rFonts w:ascii="Times New Roman" w:hAnsi="Times New Roman"/>
          <w:b w:val="0"/>
          <w:i w:val="0"/>
          <w:color w:val="222222"/>
          <w:sz w:val="24"/>
        </w:rPr>
        <w:t>• Grados de libertad ajustados: gl = 1425.171.</w:t>
      </w:r>
    </w:p>
    <w:p>
      <w:pPr>
        <w:spacing w:before="0" w:after="120" w:line="276" w:lineRule="auto"/>
        <w:jc w:val="both"/>
      </w:pPr>
      <w:r>
        <w:rPr>
          <w:rFonts w:ascii="Times New Roman" w:hAnsi="Times New Roman"/>
          <w:b w:val="0"/>
          <w:i w:val="0"/>
          <w:color w:val="222222"/>
          <w:sz w:val="24"/>
        </w:rPr>
        <w:t>• Significancia bilateral: p = 0.268 (p de un factor = 0.134).</w:t>
      </w:r>
    </w:p>
    <w:p>
      <w:pPr>
        <w:keepNext/>
        <w:spacing w:before="160" w:after="60"/>
        <w:jc w:val="left"/>
      </w:pPr>
      <w:r>
        <w:rPr>
          <w:rFonts w:ascii="Times New Roman" w:hAnsi="Times New Roman"/>
          <w:b/>
          <w:i/>
          <w:color w:val="34495E"/>
          <w:sz w:val="24"/>
        </w:rPr>
        <w:t>6.1.4 Decisión estadística e interpretación</w:t>
      </w:r>
    </w:p>
    <w:p>
      <w:pPr>
        <w:spacing w:before="0" w:after="120" w:line="276" w:lineRule="auto"/>
        <w:jc w:val="both"/>
      </w:pPr>
      <w:r>
        <w:rPr>
          <w:rFonts w:ascii="Times New Roman" w:hAnsi="Times New Roman"/>
          <w:b w:val="0"/>
          <w:i w:val="0"/>
          <w:color w:val="222222"/>
          <w:sz w:val="24"/>
        </w:rPr>
        <w:t>Decisión: Como el p-valor (p = 0.268) es estrictamente mayor a α = 0.05, NO SE RECHAZA LA HIPÓTESIS NULA (H₀).</w:t>
      </w:r>
    </w:p>
    <w:p>
      <w:pPr>
        <w:spacing w:before="0" w:after="120" w:line="276" w:lineRule="auto"/>
        <w:jc w:val="both"/>
      </w:pPr>
      <w:r>
        <w:rPr>
          <w:rFonts w:ascii="Times New Roman" w:hAnsi="Times New Roman"/>
          <w:b w:val="0"/>
          <w:i w:val="0"/>
          <w:color w:val="222222"/>
          <w:sz w:val="24"/>
        </w:rPr>
        <w:t>Interpretación en el contexto del problema: No existe diferencia estadísticamente significativa en el nivel promedio de bifurcaciones transformadas entre proyectos de organizaciones y proyectos de usuarios independientes. Esto demuestra un hallazgo de alto valor para la Ingeniería de Sistemas: la capacidad de un software para ser derivado, clonado y reutilizado por la comunidad depende del interés técnico de la solución algorítmica y no de si quien administra el repositorio es una corporación o un desarrollador independiente.</w:t>
      </w:r>
    </w:p>
    <w:p>
      <w:pPr>
        <w:keepNext/>
        <w:spacing w:before="160" w:after="60"/>
        <w:jc w:val="left"/>
      </w:pPr>
      <w:r>
        <w:rPr>
          <w:rFonts w:ascii="Times New Roman" w:hAnsi="Times New Roman"/>
          <w:b/>
          <w:i/>
          <w:color w:val="34495E"/>
          <w:sz w:val="24"/>
        </w:rPr>
        <w:t>6.1.5 Tamaño del efecto para dos grupos independientes</w:t>
      </w:r>
    </w:p>
    <w:p>
      <w:pPr>
        <w:spacing w:before="0" w:after="120" w:line="276" w:lineRule="auto"/>
        <w:jc w:val="both"/>
      </w:pPr>
      <w:r>
        <w:rPr>
          <w:rFonts w:ascii="Times New Roman" w:hAnsi="Times New Roman"/>
          <w:b w:val="0"/>
          <w:i w:val="0"/>
          <w:color w:val="222222"/>
          <w:sz w:val="24"/>
        </w:rPr>
        <w:t>• d de Cohen: d = 0.057 (IC 95 %: [-0.043 ; 0.157]). Estandarizador combinado = 0.7725.</w:t>
      </w:r>
    </w:p>
    <w:p>
      <w:pPr>
        <w:spacing w:before="0" w:after="120" w:line="276" w:lineRule="auto"/>
        <w:jc w:val="both"/>
      </w:pPr>
      <w:r>
        <w:rPr>
          <w:rFonts w:ascii="Times New Roman" w:hAnsi="Times New Roman"/>
          <w:b w:val="0"/>
          <w:i w:val="0"/>
          <w:color w:val="222222"/>
          <w:sz w:val="24"/>
        </w:rPr>
        <w:t>• Corrección de Hedges: g = 0.057 (IC 95 %: [-0.043 ; 0.157]). Estandarizador corregido = 0.7729.</w:t>
      </w:r>
    </w:p>
    <w:p>
      <w:pPr>
        <w:spacing w:before="0" w:after="120" w:line="276" w:lineRule="auto"/>
        <w:jc w:val="both"/>
      </w:pPr>
      <w:r>
        <w:rPr>
          <w:rFonts w:ascii="Times New Roman" w:hAnsi="Times New Roman"/>
          <w:b w:val="0"/>
          <w:i w:val="0"/>
          <w:color w:val="222222"/>
          <w:sz w:val="24"/>
        </w:rPr>
        <w:t>• Delta de Glass: Δ = 0.055 (IC 95 %: [-0.045 ; 0.154]). Estandarizador grupo control (User) = 0.8030.</w:t>
      </w:r>
    </w:p>
    <w:p>
      <w:pPr>
        <w:spacing w:before="0" w:after="120" w:line="276" w:lineRule="auto"/>
        <w:jc w:val="both"/>
      </w:pPr>
      <w:r>
        <w:rPr>
          <w:rFonts w:ascii="Times New Roman" w:hAnsi="Times New Roman"/>
          <w:b w:val="0"/>
          <w:i w:val="0"/>
          <w:color w:val="222222"/>
          <w:sz w:val="24"/>
        </w:rPr>
        <w:t>Interpretación: Los tres índices arrojan magnitudes inferiores a 0.10, tipificando un efecto prácticamente nulo o trivial.</w:t>
      </w:r>
    </w:p>
    <w:p>
      <w:pPr>
        <w:keepNext/>
        <w:spacing w:before="160" w:after="40"/>
        <w:jc w:val="center"/>
      </w:pPr>
      <w:r>
        <w:drawing>
          <wp:inline xmlns:a="http://schemas.openxmlformats.org/drawingml/2006/main" xmlns:pic="http://schemas.openxmlformats.org/drawingml/2006/picture">
            <wp:extent cx="5303520" cy="1676526"/>
            <wp:docPr id="8" name="Picture 8"/>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5303520" cy="1676526"/>
                    </a:xfrm>
                    <a:prstGeom prst="rect"/>
                  </pic:spPr>
                </pic:pic>
              </a:graphicData>
            </a:graphic>
          </wp:inline>
        </w:drawing>
      </w:r>
    </w:p>
    <w:p>
      <w:pPr>
        <w:spacing w:before="40" w:after="200"/>
        <w:jc w:val="center"/>
      </w:pPr>
      <w:r>
        <w:rPr>
          <w:rFonts w:ascii="Times New Roman" w:hAnsi="Times New Roman"/>
          <w:b/>
          <w:i/>
          <w:color w:val="555555"/>
          <w:sz w:val="20"/>
        </w:rPr>
        <w:t>Figura 7. Prueba de Levene para homogeneidad de varianzas de ln_forks_1 según tipo de propietario (F = 7.352, Sig. = 0.007).</w:t>
      </w:r>
    </w:p>
    <w:p>
      <w:pPr>
        <w:keepNext/>
        <w:spacing w:before="160" w:after="40"/>
        <w:jc w:val="center"/>
      </w:pPr>
      <w:r>
        <w:drawing>
          <wp:inline xmlns:a="http://schemas.openxmlformats.org/drawingml/2006/main" xmlns:pic="http://schemas.openxmlformats.org/drawingml/2006/picture">
            <wp:extent cx="5303520" cy="1851860"/>
            <wp:docPr id="9" name="Picture 9"/>
            <wp:cNvGraphicFramePr>
              <a:graphicFrameLocks noChangeAspect="1"/>
            </wp:cNvGraphicFramePr>
            <a:graphic>
              <a:graphicData uri="http://schemas.openxmlformats.org/drawingml/2006/picture">
                <pic:pic>
                  <pic:nvPicPr>
                    <pic:cNvPr id="0" name="image12.png"/>
                    <pic:cNvPicPr/>
                  </pic:nvPicPr>
                  <pic:blipFill>
                    <a:blip r:embed="rId17"/>
                    <a:stretch>
                      <a:fillRect/>
                    </a:stretch>
                  </pic:blipFill>
                  <pic:spPr>
                    <a:xfrm>
                      <a:off x="0" y="0"/>
                      <a:ext cx="5303520" cy="1851860"/>
                    </a:xfrm>
                    <a:prstGeom prst="rect"/>
                  </pic:spPr>
                </pic:pic>
              </a:graphicData>
            </a:graphic>
          </wp:inline>
        </w:drawing>
      </w:r>
    </w:p>
    <w:p>
      <w:pPr>
        <w:spacing w:before="40" w:after="200"/>
        <w:jc w:val="center"/>
      </w:pPr>
      <w:r>
        <w:rPr>
          <w:rFonts w:ascii="Times New Roman" w:hAnsi="Times New Roman"/>
          <w:b/>
          <w:i/>
          <w:color w:val="555555"/>
          <w:sz w:val="20"/>
        </w:rPr>
        <w:t>Figura 8. Estadísticas de grupo y Prueba de muestras independientes (t de Welch y Student) para ln_forks_1 en SPSS.</w:t>
      </w:r>
    </w:p>
    <w:p>
      <w:pPr>
        <w:keepNext/>
        <w:spacing w:before="160" w:after="40"/>
        <w:jc w:val="center"/>
      </w:pPr>
      <w:r>
        <w:drawing>
          <wp:inline xmlns:a="http://schemas.openxmlformats.org/drawingml/2006/main" xmlns:pic="http://schemas.openxmlformats.org/drawingml/2006/picture">
            <wp:extent cx="5303520" cy="3776191"/>
            <wp:docPr id="10" name="Picture 10"/>
            <wp:cNvGraphicFramePr>
              <a:graphicFrameLocks noChangeAspect="1"/>
            </wp:cNvGraphicFramePr>
            <a:graphic>
              <a:graphicData uri="http://schemas.openxmlformats.org/drawingml/2006/picture">
                <pic:pic>
                  <pic:nvPicPr>
                    <pic:cNvPr id="0" name="image14.png"/>
                    <pic:cNvPicPr/>
                  </pic:nvPicPr>
                  <pic:blipFill>
                    <a:blip r:embed="rId18"/>
                    <a:stretch>
                      <a:fillRect/>
                    </a:stretch>
                  </pic:blipFill>
                  <pic:spPr>
                    <a:xfrm>
                      <a:off x="0" y="0"/>
                      <a:ext cx="5303520" cy="3776191"/>
                    </a:xfrm>
                    <a:prstGeom prst="rect"/>
                  </pic:spPr>
                </pic:pic>
              </a:graphicData>
            </a:graphic>
          </wp:inline>
        </w:drawing>
      </w:r>
    </w:p>
    <w:p>
      <w:pPr>
        <w:spacing w:before="40" w:after="200"/>
        <w:jc w:val="center"/>
      </w:pPr>
      <w:r>
        <w:rPr>
          <w:rFonts w:ascii="Times New Roman" w:hAnsi="Times New Roman"/>
          <w:b/>
          <w:i/>
          <w:color w:val="555555"/>
          <w:sz w:val="20"/>
        </w:rPr>
        <w:t>Figura 9. Nota explicativa de Ayuda Curada generada por SPSS confirmando que la diferencia media no es significativa.</w:t>
      </w:r>
    </w:p>
    <w:p>
      <w:pPr>
        <w:keepNext/>
        <w:spacing w:before="160" w:after="40"/>
        <w:jc w:val="center"/>
      </w:pPr>
      <w:r>
        <w:drawing>
          <wp:inline xmlns:a="http://schemas.openxmlformats.org/drawingml/2006/main" xmlns:pic="http://schemas.openxmlformats.org/drawingml/2006/picture">
            <wp:extent cx="5303520" cy="1983359"/>
            <wp:docPr id="11" name="Picture 11"/>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303520" cy="1983359"/>
                    </a:xfrm>
                    <a:prstGeom prst="rect"/>
                  </pic:spPr>
                </pic:pic>
              </a:graphicData>
            </a:graphic>
          </wp:inline>
        </w:drawing>
      </w:r>
    </w:p>
    <w:p>
      <w:pPr>
        <w:spacing w:before="40" w:after="200"/>
        <w:jc w:val="center"/>
      </w:pPr>
      <w:r>
        <w:rPr>
          <w:rFonts w:ascii="Times New Roman" w:hAnsi="Times New Roman"/>
          <w:b/>
          <w:i/>
          <w:color w:val="555555"/>
          <w:sz w:val="20"/>
        </w:rPr>
        <w:t>Figura 10. Tamaños de efecto de muestras independientes (d de Cohen, g de Hedges y Delta de Glass) para ln_forks_1.</w:t>
      </w:r>
    </w:p>
    <w:tbl>
      <w:tblPr>
        <w:tblW w:type="auto" w:w="0"/>
        <w:jc w:val="center"/>
        <w:tblLook w:firstColumn="1" w:firstRow="1" w:lastColumn="0" w:lastRow="0" w:noHBand="0" w:noVBand="1" w:val="04A0"/>
      </w:tblPr>
      <w:tblGrid>
        <w:gridCol w:w="9360"/>
      </w:tblGrid>
      <w:tr>
        <w:tc>
          <w:tcPr>
            <w:tcW w:type="dxa" w:w="9360"/>
            <w:shd w:fill="F8F9F9"/>
            <w:tcBorders>
              <w:top w:val="dashed" w:sz="8" w:space="0" w:color="3498DB"/>
              <w:left w:val="dashed" w:sz="8" w:space="0" w:color="3498DB"/>
              <w:bottom w:val="dashed" w:sz="8" w:space="0" w:color="3498DB"/>
              <w:right w:val="dashed" w:sz="8" w:space="0" w:color="3498DB"/>
            </w:tcBorders>
          </w:tcPr>
          <w:p>
            <w:pPr>
              <w:spacing w:before="160" w:after="40"/>
              <w:jc w:val="center"/>
            </w:pPr>
            <w:r>
              <w:rPr>
                <w:rFonts w:ascii="Times New Roman" w:hAnsi="Times New Roman"/>
                <w:b/>
                <w:color w:val="2980B9"/>
                <w:sz w:val="21"/>
              </w:rPr>
              <w:t>📷 [ESPACIO RESERVADO PARA IMAGEN POSTERIOR]</w:t>
              <w:br/>
            </w:r>
            <w:r>
              <w:rPr>
                <w:rFonts w:ascii="Times New Roman" w:hAnsi="Times New Roman"/>
                <w:b/>
                <w:color w:val="1B365D"/>
                <w:sz w:val="22"/>
              </w:rPr>
              <w:t>Gráficos Exploratorios Adicionales por Tipo de Propietario (Organization vs. User)</w:t>
              <w:br/>
            </w:r>
            <w:r>
              <w:rPr>
                <w:rFonts w:ascii="Times New Roman" w:hAnsi="Times New Roman"/>
                <w:i/>
                <w:color w:val="555555"/>
                <w:sz w:val="20"/>
              </w:rPr>
              <w:t>Espacio reservado para Gráfico Q-Q Normal / Diagrama de Cajas comparativo de ln_forks_1 por grupo.</w:t>
            </w:r>
          </w:p>
          <w:p>
            <w:pPr>
              <w:spacing w:before="40" w:after="120"/>
              <w:jc w:val="center"/>
            </w:pPr>
            <w:r>
              <w:rPr>
                <w:rFonts w:ascii="Times New Roman" w:hAnsi="Times New Roman"/>
                <w:i/>
                <w:color w:val="7F8C8D"/>
                <w:sz w:val="19"/>
              </w:rPr>
              <w:t>Instrucción para el usuario: Inserte aquí las capturas de gráficos Q-Q o diagramas de cajas generados en SPSS para Organization vs. User.</w:t>
            </w:r>
          </w:p>
        </w:tc>
      </w:tr>
    </w:tbl>
    <w:p>
      <w:pPr>
        <w:spacing w:before="0" w:after="120"/>
      </w:pPr>
    </w:p>
    <w:p>
      <w:pPr>
        <w:keepNext/>
        <w:spacing w:before="240" w:after="80"/>
        <w:jc w:val="left"/>
      </w:pPr>
      <w:r>
        <w:rPr>
          <w:rFonts w:ascii="Times New Roman" w:hAnsi="Times New Roman"/>
          <w:b/>
          <w:color w:val="2C3E50"/>
          <w:sz w:val="25"/>
        </w:rPr>
        <w:t>6.2 Comparación multidimensional complementaria: Organization vs. User</w:t>
      </w:r>
    </w:p>
    <w:p>
      <w:pPr>
        <w:spacing w:before="0" w:after="120" w:line="276" w:lineRule="auto"/>
        <w:jc w:val="both"/>
      </w:pPr>
      <w:r>
        <w:rPr>
          <w:rFonts w:ascii="Times New Roman" w:hAnsi="Times New Roman"/>
          <w:b w:val="0"/>
          <w:i w:val="0"/>
          <w:color w:val="222222"/>
          <w:sz w:val="24"/>
        </w:rPr>
        <w:t>Para ofrecer una visión integral del dataset, se evaluaron las cuatro métricas originales entre Organization y User. Las Tablas 7, 8 y 9 exponen los estadísticos descriptivos, los contrastes inferenciales y los tamaños del efecto.</w:t>
      </w:r>
    </w:p>
    <w:p>
      <w:pPr>
        <w:spacing w:before="0" w:after="120" w:line="276" w:lineRule="auto"/>
        <w:jc w:val="center"/>
      </w:pPr>
      <w:r>
        <w:rPr>
          <w:rFonts w:ascii="Times New Roman" w:hAnsi="Times New Roman"/>
          <w:b/>
          <w:i w:val="0"/>
          <w:color w:val="1B365D"/>
          <w:sz w:val="21"/>
        </w:rPr>
        <w:t>Tabla 7. Estadísticos descriptivos por grupo — Organization vs. User.</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Grupo</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N</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Media</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Desv. Estándar</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Error Estándar</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Organization</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878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9243.75</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4496.82</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151.76</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User</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689</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8607.25</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4277.10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162.94</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Organization</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878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1305.18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1023.69</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34.55</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User</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689</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1335.65</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1415.80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53.94</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Organization</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878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237.30</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414.29</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13.98</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User</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689</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106.77</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175.96</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6.70</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Organization</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878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144030.95</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838704.44</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28304.90</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User</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689</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127849.93</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671670.34</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25588.60</w:t>
            </w:r>
          </w:p>
        </w:tc>
      </w:tr>
    </w:tbl>
    <w:p>
      <w:pPr>
        <w:spacing w:before="0" w:after="120"/>
      </w:pPr>
    </w:p>
    <w:p>
      <w:pPr>
        <w:spacing w:before="0" w:after="120" w:line="276" w:lineRule="auto"/>
        <w:jc w:val="center"/>
      </w:pPr>
      <w:r>
        <w:rPr>
          <w:rFonts w:ascii="Times New Roman" w:hAnsi="Times New Roman"/>
          <w:b/>
          <w:i w:val="0"/>
          <w:color w:val="1B365D"/>
          <w:sz w:val="21"/>
        </w:rPr>
        <w:t>Tabla 8. Pruebas de hipótesis para dos grupos independientes — Organization vs. User.</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Prueba aplicada</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Estadístico t</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Grados de libertad (gl)</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Sig. (bilateral)</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Decisión inferencial</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t de Welch</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2.859</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1511.45</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0.004</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Diferencia significativa (p &lt; 0.05)</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t de Student</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-0.494</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1565</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0.621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 significativa (p ≥ 0.05)</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t de Welch</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8.418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1247.38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&lt; 0.001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Diferencia significativa (p &lt; 0.05)</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t de Student</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0.413</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1565</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0.680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 significativa (p ≥ 0.05)</w:t>
            </w:r>
          </w:p>
        </w:tc>
      </w:tr>
    </w:tbl>
    <w:p>
      <w:pPr>
        <w:spacing w:before="0" w:after="120"/>
      </w:pPr>
    </w:p>
    <w:p>
      <w:pPr>
        <w:spacing w:before="0" w:after="120" w:line="276" w:lineRule="auto"/>
        <w:jc w:val="center"/>
      </w:pPr>
      <w:r>
        <w:rPr>
          <w:rFonts w:ascii="Times New Roman" w:hAnsi="Times New Roman"/>
          <w:b/>
          <w:i w:val="0"/>
          <w:color w:val="1B365D"/>
          <w:sz w:val="21"/>
        </w:rPr>
        <w:t>Tabla 9. Tamaños del efecto e intervalos de confianza — Organization vs. User.</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Diferencia de medias</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IC 95 % de la diferencia</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g de Hedges</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Magnitud del efecto</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636.50</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[200.07 ; 1072.93]</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0.15</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Trivial - pequeño</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130.53</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[100.14 ; 160.92]</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0.39</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Pequeño - moderado</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-30.47</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[-151.78 ; 90.84]</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-0.03</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Trivial (no significativo)</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16181.02</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[-60759.50 ; 93121.54]</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0.02</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Trivial (no significativo)</w:t>
            </w:r>
          </w:p>
        </w:tc>
      </w:tr>
    </w:tbl>
    <w:p>
      <w:pPr>
        <w:spacing w:before="0" w:after="120"/>
      </w:pPr>
    </w:p>
    <w:p>
      <w:pPr>
        <w:keepNext/>
        <w:spacing w:before="160" w:after="40"/>
        <w:jc w:val="center"/>
      </w:pPr>
      <w:r>
        <w:drawing>
          <wp:inline xmlns:a="http://schemas.openxmlformats.org/drawingml/2006/main" xmlns:pic="http://schemas.openxmlformats.org/drawingml/2006/picture">
            <wp:extent cx="4114800" cy="2591020"/>
            <wp:docPr id="12" name="Picture 12"/>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4114800" cy="2591020"/>
                    </a:xfrm>
                    <a:prstGeom prst="rect"/>
                  </pic:spPr>
                </pic:pic>
              </a:graphicData>
            </a:graphic>
          </wp:inline>
        </w:drawing>
      </w:r>
    </w:p>
    <w:p>
      <w:pPr>
        <w:spacing w:before="40" w:after="200"/>
        <w:jc w:val="center"/>
      </w:pPr>
      <w:r>
        <w:rPr>
          <w:rFonts w:ascii="Times New Roman" w:hAnsi="Times New Roman"/>
          <w:b/>
          <w:i/>
          <w:color w:val="555555"/>
          <w:sz w:val="20"/>
        </w:rPr>
        <w:t>Figura 11. Comparación de la media de stars por tipo de propietario (Organization vs. User).</w:t>
      </w:r>
    </w:p>
    <w:p>
      <w:pPr>
        <w:keepNext/>
        <w:spacing w:before="160" w:after="40"/>
        <w:jc w:val="center"/>
      </w:pPr>
      <w:r>
        <w:drawing>
          <wp:inline xmlns:a="http://schemas.openxmlformats.org/drawingml/2006/main" xmlns:pic="http://schemas.openxmlformats.org/drawingml/2006/picture">
            <wp:extent cx="4114800" cy="2588821"/>
            <wp:docPr id="13" name="Picture 13"/>
            <wp:cNvGraphicFramePr>
              <a:graphicFrameLocks noChangeAspect="1"/>
            </wp:cNvGraphicFramePr>
            <a:graphic>
              <a:graphicData uri="http://schemas.openxmlformats.org/drawingml/2006/picture">
                <pic:pic>
                  <pic:nvPicPr>
                    <pic:cNvPr id="0" name="image5.png"/>
                    <pic:cNvPicPr/>
                  </pic:nvPicPr>
                  <pic:blipFill>
                    <a:blip r:embed="rId21"/>
                    <a:stretch>
                      <a:fillRect/>
                    </a:stretch>
                  </pic:blipFill>
                  <pic:spPr>
                    <a:xfrm>
                      <a:off x="0" y="0"/>
                      <a:ext cx="4114800" cy="2588821"/>
                    </a:xfrm>
                    <a:prstGeom prst="rect"/>
                  </pic:spPr>
                </pic:pic>
              </a:graphicData>
            </a:graphic>
          </wp:inline>
        </w:drawing>
      </w:r>
    </w:p>
    <w:p>
      <w:pPr>
        <w:spacing w:before="40" w:after="200"/>
        <w:jc w:val="center"/>
      </w:pPr>
      <w:r>
        <w:rPr>
          <w:rFonts w:ascii="Times New Roman" w:hAnsi="Times New Roman"/>
          <w:b/>
          <w:i/>
          <w:color w:val="555555"/>
          <w:sz w:val="20"/>
        </w:rPr>
        <w:t>Figura 12. Comparación de la media de forks por tipo de propietario (Organization vs. User).</w:t>
      </w:r>
    </w:p>
    <w:p>
      <w:pPr>
        <w:keepNext/>
        <w:spacing w:before="160" w:after="40"/>
        <w:jc w:val="center"/>
      </w:pPr>
      <w:r>
        <w:drawing>
          <wp:inline xmlns:a="http://schemas.openxmlformats.org/drawingml/2006/main" xmlns:pic="http://schemas.openxmlformats.org/drawingml/2006/picture">
            <wp:extent cx="4114800" cy="2594758"/>
            <wp:docPr id="14" name="Picture 14"/>
            <wp:cNvGraphicFramePr>
              <a:graphicFrameLocks noChangeAspect="1"/>
            </wp:cNvGraphicFramePr>
            <a:graphic>
              <a:graphicData uri="http://schemas.openxmlformats.org/drawingml/2006/picture">
                <pic:pic>
                  <pic:nvPicPr>
                    <pic:cNvPr id="0" name="image7.png"/>
                    <pic:cNvPicPr/>
                  </pic:nvPicPr>
                  <pic:blipFill>
                    <a:blip r:embed="rId22"/>
                    <a:stretch>
                      <a:fillRect/>
                    </a:stretch>
                  </pic:blipFill>
                  <pic:spPr>
                    <a:xfrm>
                      <a:off x="0" y="0"/>
                      <a:ext cx="4114800" cy="2594758"/>
                    </a:xfrm>
                    <a:prstGeom prst="rect"/>
                  </pic:spPr>
                </pic:pic>
              </a:graphicData>
            </a:graphic>
          </wp:inline>
        </w:drawing>
      </w:r>
    </w:p>
    <w:p>
      <w:pPr>
        <w:spacing w:before="40" w:after="200"/>
        <w:jc w:val="center"/>
      </w:pPr>
      <w:r>
        <w:rPr>
          <w:rFonts w:ascii="Times New Roman" w:hAnsi="Times New Roman"/>
          <w:b/>
          <w:i/>
          <w:color w:val="555555"/>
          <w:sz w:val="20"/>
        </w:rPr>
        <w:t>Figura 13. Comparación de la media de open_issues por tipo de propietario (Organization vs. User).</w:t>
      </w:r>
    </w:p>
    <w:p>
      <w:pPr>
        <w:keepNext/>
        <w:spacing w:before="160" w:after="40"/>
        <w:jc w:val="center"/>
      </w:pPr>
      <w:r>
        <w:drawing>
          <wp:inline xmlns:a="http://schemas.openxmlformats.org/drawingml/2006/main" xmlns:pic="http://schemas.openxmlformats.org/drawingml/2006/picture">
            <wp:extent cx="4114800" cy="2594758"/>
            <wp:docPr id="15" name="Picture 15"/>
            <wp:cNvGraphicFramePr>
              <a:graphicFrameLocks noChangeAspect="1"/>
            </wp:cNvGraphicFramePr>
            <a:graphic>
              <a:graphicData uri="http://schemas.openxmlformats.org/drawingml/2006/picture">
                <pic:pic>
                  <pic:nvPicPr>
                    <pic:cNvPr id="0" name="image6.png"/>
                    <pic:cNvPicPr/>
                  </pic:nvPicPr>
                  <pic:blipFill>
                    <a:blip r:embed="rId23"/>
                    <a:stretch>
                      <a:fillRect/>
                    </a:stretch>
                  </pic:blipFill>
                  <pic:spPr>
                    <a:xfrm>
                      <a:off x="0" y="0"/>
                      <a:ext cx="4114800" cy="2594758"/>
                    </a:xfrm>
                    <a:prstGeom prst="rect"/>
                  </pic:spPr>
                </pic:pic>
              </a:graphicData>
            </a:graphic>
          </wp:inline>
        </w:drawing>
      </w:r>
    </w:p>
    <w:p>
      <w:pPr>
        <w:spacing w:before="40" w:after="200"/>
        <w:jc w:val="center"/>
      </w:pPr>
      <w:r>
        <w:rPr>
          <w:rFonts w:ascii="Times New Roman" w:hAnsi="Times New Roman"/>
          <w:b/>
          <w:i/>
          <w:color w:val="555555"/>
          <w:sz w:val="20"/>
        </w:rPr>
        <w:t>Figura 14. Comparación de la media de size_kb por tipo de propietario (Organization vs. User).</w:t>
      </w:r>
    </w:p>
    <w:p>
      <w:pPr>
        <w:keepNext/>
        <w:spacing w:before="240" w:after="80"/>
        <w:jc w:val="left"/>
      </w:pPr>
      <w:r>
        <w:rPr>
          <w:rFonts w:ascii="Times New Roman" w:hAnsi="Times New Roman"/>
          <w:b/>
          <w:color w:val="2C3E50"/>
          <w:sz w:val="25"/>
        </w:rPr>
        <w:t>6.3 Comparación secundaria según Tipo de Licencia: MIT vs. Apache-2.0</w:t>
      </w:r>
    </w:p>
    <w:p>
      <w:pPr>
        <w:spacing w:before="0" w:after="120" w:line="276" w:lineRule="auto"/>
        <w:jc w:val="both"/>
      </w:pPr>
      <w:r>
        <w:rPr>
          <w:rFonts w:ascii="Times New Roman" w:hAnsi="Times New Roman"/>
          <w:b w:val="0"/>
          <w:i w:val="0"/>
          <w:color w:val="222222"/>
          <w:sz w:val="24"/>
        </w:rPr>
        <w:t>Se contrastaron los repositorios bajo las dos licencias más utilizadas (MIT: n₁ = 546 vs. Apache-2.0: n₂ = 405). Las Tablas 10, 11 y 12 resumen este procedimiento.</w:t>
      </w:r>
    </w:p>
    <w:p>
      <w:pPr>
        <w:spacing w:before="0" w:after="120" w:line="276" w:lineRule="auto"/>
        <w:jc w:val="center"/>
      </w:pPr>
      <w:r>
        <w:rPr>
          <w:rFonts w:ascii="Times New Roman" w:hAnsi="Times New Roman"/>
          <w:b/>
          <w:i w:val="0"/>
          <w:color w:val="1B365D"/>
          <w:sz w:val="21"/>
        </w:rPr>
        <w:t>Tabla 10. Estadísticos descriptivos por grupo — MIT vs. Apache-2.0.</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Grupo de Licencia</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N</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Media</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Desv. Estándar</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Error Estándar</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MIT</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546</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8860.57</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4437.93</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189.93</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Apache-2.0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405</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9090.93</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4379.47</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217.62</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MIT</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546</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1312.85</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1329.09</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56.88</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Apache-2.0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405</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1262.27</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1162.93</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57.79</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MIT</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546</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138.47</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263.30</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11.27</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Apache-2.0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405</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209.83</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302.11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15.01</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MIT</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546</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94772.06</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422444.77</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18078.97</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Apache-2.0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405</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101869.28</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214894.27</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10678.18</w:t>
            </w:r>
          </w:p>
        </w:tc>
      </w:tr>
    </w:tbl>
    <w:p>
      <w:pPr>
        <w:spacing w:before="0" w:after="120"/>
      </w:pPr>
    </w:p>
    <w:p>
      <w:pPr>
        <w:spacing w:before="0" w:after="120" w:line="276" w:lineRule="auto"/>
        <w:jc w:val="center"/>
      </w:pPr>
      <w:r>
        <w:rPr>
          <w:rFonts w:ascii="Times New Roman" w:hAnsi="Times New Roman"/>
          <w:b/>
          <w:i w:val="0"/>
          <w:color w:val="1B365D"/>
          <w:sz w:val="21"/>
        </w:rPr>
        <w:t>Tabla 11. Pruebas de hipótesis para dos grupos independientes — MIT vs. Apache-2.0.</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Prueba aplicada</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Estadístico t</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Grados de libertad (gl)</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Sig. (bilateral)</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Decisión inferencial</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t de Student</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-0.796</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949</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0.426</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No significativa (p ≥ 0.05)</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t de Student</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0.612</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949</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0.541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 significativa (p ≥ 0.05)</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t de Welch</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-3.802</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804.88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&lt; 0.001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Diferencia significativa (p &lt; 0.05)</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t de Student</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-0.310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949</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0.757</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 significativa (p ≥ 0.05)</w:t>
            </w:r>
          </w:p>
        </w:tc>
      </w:tr>
    </w:tbl>
    <w:p>
      <w:pPr>
        <w:spacing w:before="0" w:after="120"/>
      </w:pPr>
    </w:p>
    <w:p>
      <w:pPr>
        <w:spacing w:before="0" w:after="120" w:line="276" w:lineRule="auto"/>
        <w:jc w:val="center"/>
      </w:pPr>
      <w:r>
        <w:rPr>
          <w:rFonts w:ascii="Times New Roman" w:hAnsi="Times New Roman"/>
          <w:b/>
          <w:i w:val="0"/>
          <w:color w:val="1B365D"/>
          <w:sz w:val="21"/>
        </w:rPr>
        <w:t>Tabla 12. Tamaños del efecto e intervalos de confianza — MIT vs. Apache-2.0.</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Variable</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Diferencia de medias</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IC 95 % de la diferencia</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g de Hedges</w:t>
            </w:r>
          </w:p>
        </w:tc>
        <w:tc>
          <w:tcPr>
            <w:tcW w:type="dxa" w:w="1872"/>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Magnitud del efecto</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Open Issues</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-71.36</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[-108.15 ; -34.57]</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-0.25</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Pequeño (significativo)</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Stars</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-230.36</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[-797.80 ; 337.08]</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-0.05</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Trivial (no significativo)</w:t>
            </w:r>
          </w:p>
        </w:tc>
      </w:tr>
      <w:tr>
        <w:trPr>
          <w:cantSplit/>
        </w:trPr>
        <w:tc>
          <w:tcPr>
            <w:tcW w:type="dxa" w:w="1872"/>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Forks</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50.58</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[-111.45 ; 212.61]</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0.04</w:t>
            </w:r>
          </w:p>
        </w:tc>
        <w:tc>
          <w:tcPr>
            <w:tcW w:type="dxa" w:w="1872"/>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Trivial (no significativo)</w:t>
            </w:r>
          </w:p>
        </w:tc>
      </w:tr>
      <w:tr>
        <w:trPr>
          <w:cantSplit/>
        </w:trPr>
        <w:tc>
          <w:tcPr>
            <w:tcW w:type="dxa" w:w="1872"/>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Size (KB)</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-7097.22</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[-52026.40 ; 37831.96]</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-0.02</w:t>
            </w:r>
          </w:p>
        </w:tc>
        <w:tc>
          <w:tcPr>
            <w:tcW w:type="dxa" w:w="1872"/>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Trivial (no significativo)</w:t>
            </w:r>
          </w:p>
        </w:tc>
      </w:tr>
    </w:tbl>
    <w:p>
      <w:pPr>
        <w:spacing w:before="0" w:after="120"/>
      </w:pPr>
    </w:p>
    <w:p>
      <w:pPr>
        <w:keepNext/>
        <w:spacing w:before="160" w:after="40"/>
        <w:jc w:val="center"/>
      </w:pPr>
      <w:r>
        <w:drawing>
          <wp:inline xmlns:a="http://schemas.openxmlformats.org/drawingml/2006/main" xmlns:pic="http://schemas.openxmlformats.org/drawingml/2006/picture">
            <wp:extent cx="4114800" cy="2591020"/>
            <wp:docPr id="16" name="Picture 16"/>
            <wp:cNvGraphicFramePr>
              <a:graphicFrameLocks noChangeAspect="1"/>
            </wp:cNvGraphicFramePr>
            <a:graphic>
              <a:graphicData uri="http://schemas.openxmlformats.org/drawingml/2006/picture">
                <pic:pic>
                  <pic:nvPicPr>
                    <pic:cNvPr id="0" name="image1.png"/>
                    <pic:cNvPicPr/>
                  </pic:nvPicPr>
                  <pic:blipFill>
                    <a:blip r:embed="rId24"/>
                    <a:stretch>
                      <a:fillRect/>
                    </a:stretch>
                  </pic:blipFill>
                  <pic:spPr>
                    <a:xfrm>
                      <a:off x="0" y="0"/>
                      <a:ext cx="4114800" cy="2591020"/>
                    </a:xfrm>
                    <a:prstGeom prst="rect"/>
                  </pic:spPr>
                </pic:pic>
              </a:graphicData>
            </a:graphic>
          </wp:inline>
        </w:drawing>
      </w:r>
    </w:p>
    <w:p>
      <w:pPr>
        <w:spacing w:before="40" w:after="200"/>
        <w:jc w:val="center"/>
      </w:pPr>
      <w:r>
        <w:rPr>
          <w:rFonts w:ascii="Times New Roman" w:hAnsi="Times New Roman"/>
          <w:b/>
          <w:i/>
          <w:color w:val="555555"/>
          <w:sz w:val="20"/>
        </w:rPr>
        <w:t>Figura 15. Comparación de la media de stars por tipo de licencia (MIT vs. Apache-2.0).</w:t>
      </w:r>
    </w:p>
    <w:p>
      <w:pPr>
        <w:keepNext/>
        <w:spacing w:before="160" w:after="40"/>
        <w:jc w:val="center"/>
      </w:pPr>
      <w:r>
        <w:drawing>
          <wp:inline xmlns:a="http://schemas.openxmlformats.org/drawingml/2006/main" xmlns:pic="http://schemas.openxmlformats.org/drawingml/2006/picture">
            <wp:extent cx="4114800" cy="2588821"/>
            <wp:docPr id="17" name="Picture 17"/>
            <wp:cNvGraphicFramePr>
              <a:graphicFrameLocks noChangeAspect="1"/>
            </wp:cNvGraphicFramePr>
            <a:graphic>
              <a:graphicData uri="http://schemas.openxmlformats.org/drawingml/2006/picture">
                <pic:pic>
                  <pic:nvPicPr>
                    <pic:cNvPr id="0" name="image2.png"/>
                    <pic:cNvPicPr/>
                  </pic:nvPicPr>
                  <pic:blipFill>
                    <a:blip r:embed="rId25"/>
                    <a:stretch>
                      <a:fillRect/>
                    </a:stretch>
                  </pic:blipFill>
                  <pic:spPr>
                    <a:xfrm>
                      <a:off x="0" y="0"/>
                      <a:ext cx="4114800" cy="2588821"/>
                    </a:xfrm>
                    <a:prstGeom prst="rect"/>
                  </pic:spPr>
                </pic:pic>
              </a:graphicData>
            </a:graphic>
          </wp:inline>
        </w:drawing>
      </w:r>
    </w:p>
    <w:p>
      <w:pPr>
        <w:spacing w:before="40" w:after="200"/>
        <w:jc w:val="center"/>
      </w:pPr>
      <w:r>
        <w:rPr>
          <w:rFonts w:ascii="Times New Roman" w:hAnsi="Times New Roman"/>
          <w:b/>
          <w:i/>
          <w:color w:val="555555"/>
          <w:sz w:val="20"/>
        </w:rPr>
        <w:t>Figura 16. Comparación de la media de forks por tipo de licencia (MIT vs. Apache-2.0).</w:t>
      </w:r>
    </w:p>
    <w:p>
      <w:pPr>
        <w:keepNext/>
        <w:spacing w:before="160" w:after="40"/>
        <w:jc w:val="center"/>
      </w:pPr>
      <w:r>
        <w:drawing>
          <wp:inline xmlns:a="http://schemas.openxmlformats.org/drawingml/2006/main" xmlns:pic="http://schemas.openxmlformats.org/drawingml/2006/picture">
            <wp:extent cx="4114800" cy="2594758"/>
            <wp:docPr id="18" name="Picture 18"/>
            <wp:cNvGraphicFramePr>
              <a:graphicFrameLocks noChangeAspect="1"/>
            </wp:cNvGraphicFramePr>
            <a:graphic>
              <a:graphicData uri="http://schemas.openxmlformats.org/drawingml/2006/picture">
                <pic:pic>
                  <pic:nvPicPr>
                    <pic:cNvPr id="0" name="image3.png"/>
                    <pic:cNvPicPr/>
                  </pic:nvPicPr>
                  <pic:blipFill>
                    <a:blip r:embed="rId26"/>
                    <a:stretch>
                      <a:fillRect/>
                    </a:stretch>
                  </pic:blipFill>
                  <pic:spPr>
                    <a:xfrm>
                      <a:off x="0" y="0"/>
                      <a:ext cx="4114800" cy="2594758"/>
                    </a:xfrm>
                    <a:prstGeom prst="rect"/>
                  </pic:spPr>
                </pic:pic>
              </a:graphicData>
            </a:graphic>
          </wp:inline>
        </w:drawing>
      </w:r>
    </w:p>
    <w:p>
      <w:pPr>
        <w:spacing w:before="40" w:after="200"/>
        <w:jc w:val="center"/>
      </w:pPr>
      <w:r>
        <w:rPr>
          <w:rFonts w:ascii="Times New Roman" w:hAnsi="Times New Roman"/>
          <w:b/>
          <w:i/>
          <w:color w:val="555555"/>
          <w:sz w:val="20"/>
        </w:rPr>
        <w:t>Figura 17. Comparación de la media de open_issues por tipo de licencia (MIT vs. Apache-2.0).</w:t>
      </w:r>
    </w:p>
    <w:p>
      <w:pPr>
        <w:keepNext/>
        <w:spacing w:before="160" w:after="40"/>
        <w:jc w:val="center"/>
      </w:pPr>
      <w:r>
        <w:drawing>
          <wp:inline xmlns:a="http://schemas.openxmlformats.org/drawingml/2006/main" xmlns:pic="http://schemas.openxmlformats.org/drawingml/2006/picture">
            <wp:extent cx="4114800" cy="2594758"/>
            <wp:docPr id="19" name="Picture 19"/>
            <wp:cNvGraphicFramePr>
              <a:graphicFrameLocks noChangeAspect="1"/>
            </wp:cNvGraphicFramePr>
            <a:graphic>
              <a:graphicData uri="http://schemas.openxmlformats.org/drawingml/2006/picture">
                <pic:pic>
                  <pic:nvPicPr>
                    <pic:cNvPr id="0" name="image4.png"/>
                    <pic:cNvPicPr/>
                  </pic:nvPicPr>
                  <pic:blipFill>
                    <a:blip r:embed="rId27"/>
                    <a:stretch>
                      <a:fillRect/>
                    </a:stretch>
                  </pic:blipFill>
                  <pic:spPr>
                    <a:xfrm>
                      <a:off x="0" y="0"/>
                      <a:ext cx="4114800" cy="2594758"/>
                    </a:xfrm>
                    <a:prstGeom prst="rect"/>
                  </pic:spPr>
                </pic:pic>
              </a:graphicData>
            </a:graphic>
          </wp:inline>
        </w:drawing>
      </w:r>
    </w:p>
    <w:p>
      <w:pPr>
        <w:spacing w:before="40" w:after="200"/>
        <w:jc w:val="center"/>
      </w:pPr>
      <w:r>
        <w:rPr>
          <w:rFonts w:ascii="Times New Roman" w:hAnsi="Times New Roman"/>
          <w:b/>
          <w:i/>
          <w:color w:val="555555"/>
          <w:sz w:val="20"/>
        </w:rPr>
        <w:t>Figura 18. Comparación de la media de size_kb por tipo de licencia (MIT vs. Apache-2.0).</w:t>
      </w:r>
    </w:p>
    <w:p>
      <w:pPr>
        <w:keepNext/>
        <w:spacing w:before="240" w:after="80"/>
        <w:jc w:val="left"/>
      </w:pPr>
      <w:r>
        <w:rPr>
          <w:rFonts w:ascii="Times New Roman" w:hAnsi="Times New Roman"/>
          <w:b/>
          <w:color w:val="2C3E50"/>
          <w:sz w:val="25"/>
        </w:rPr>
        <w:t>6.4 Significancia estadística frente a significancia práctica y limitaciones</w:t>
      </w:r>
    </w:p>
    <w:p>
      <w:pPr>
        <w:spacing w:before="0" w:after="120" w:line="276" w:lineRule="auto"/>
        <w:jc w:val="both"/>
      </w:pPr>
      <w:r>
        <w:rPr>
          <w:rFonts w:ascii="Times New Roman" w:hAnsi="Times New Roman"/>
          <w:b w:val="0"/>
          <w:i w:val="0"/>
          <w:color w:val="222222"/>
          <w:sz w:val="24"/>
        </w:rPr>
        <w:t>Al contar con un tamaño de muestra masivo (N = 1567), la potencia estadística de los contrastes es sumamente alta, permitiendo detectar diferencias mínimas como 'estadísticamente significativas'. Por ello, la evaluación del tamaño del efecto (g de Hedges) resulta indispensable: en Open Issues la ventaja de Organizaciones y Apache-2.0 corresponde a efectos pequeños a moderados (g = 0.39 y -0.25), revelando que el impacto real, si bien estadísticamente detectable, no representa una brecha infranqueable en la práctica ingenieril.</w:t>
      </w:r>
    </w:p>
    <w:p>
      <w:pPr>
        <w:keepNext/>
        <w:spacing w:before="320" w:after="120"/>
        <w:jc w:val="left"/>
      </w:pPr>
      <w:r>
        <w:rPr>
          <w:rFonts w:ascii="Times New Roman" w:hAnsi="Times New Roman"/>
          <w:b/>
          <w:color w:val="1B365D"/>
          <w:sz w:val="28"/>
        </w:rPr>
        <w:t>7. Comparación de promedios en muestras relacionadas (antes–después / mediciones sobre las mismas unidades)</w:t>
      </w:r>
    </w:p>
    <w:p>
      <w:pPr>
        <w:keepNext/>
        <w:spacing w:before="240" w:after="80"/>
        <w:jc w:val="left"/>
      </w:pPr>
      <w:r>
        <w:rPr>
          <w:rFonts w:ascii="Times New Roman" w:hAnsi="Times New Roman"/>
          <w:b/>
          <w:color w:val="2C3E50"/>
          <w:sz w:val="25"/>
        </w:rPr>
        <w:t>7.1 Justificación metodológica y emparejamiento de las unidades</w:t>
      </w:r>
    </w:p>
    <w:p>
      <w:pPr>
        <w:spacing w:before="0" w:after="120" w:line="276" w:lineRule="auto"/>
        <w:jc w:val="both"/>
      </w:pPr>
      <w:r>
        <w:rPr>
          <w:rFonts w:ascii="Times New Roman" w:hAnsi="Times New Roman"/>
          <w:b w:val="0"/>
          <w:i w:val="0"/>
          <w:color w:val="222222"/>
          <w:sz w:val="24"/>
        </w:rPr>
        <w:t>Directiva metodológica: El requerimiento de muestras relacionadas exige evaluar dos mediciones cuantitativas realizadas de forma indiscutible sobre las MISMAS unidades de análisis (diseño intra-sujeto o de medidas repetidas). En este trabajo, cada uno de los 1567 repositorios de software en GitHub constituye una unidad de análisis única, sobre la cual coexisten de manera simultánea dos métricas críticas de interacción: el logaritmo de popularidad pasiva (ln_stars_1) y el logaritmo de reutilización activa (ln_forks_1).</w:t>
      </w:r>
    </w:p>
    <w:p>
      <w:pPr>
        <w:spacing w:before="0" w:after="120" w:line="276" w:lineRule="auto"/>
        <w:jc w:val="both"/>
      </w:pPr>
      <w:r>
        <w:rPr>
          <w:rFonts w:ascii="Times New Roman" w:hAnsi="Times New Roman"/>
          <w:b w:val="0"/>
          <w:i w:val="0"/>
          <w:color w:val="222222"/>
          <w:sz w:val="24"/>
        </w:rPr>
        <w:t>Existe una justificación teórica y metodológica de emparejamiento rigurosa: ambas mediciones comparten idénticos factores intrínsecos al repositorio (calidad de arquitectura de software, dominio de aplicación, trayectoria cronológica y prestigio del autor). Por tanto, la diferencia intra-repositorio D_i = ln_stars_1 - ln_forks_1 anula la variabilidad entre proyectos distintos y permite aislar con máxima potencia inferencial la discrepancia intrínseca entre el interés meramente declarativo (stars) y el involucramiento técnico operativo (forks).</w:t>
      </w:r>
    </w:p>
    <w:p>
      <w:pPr>
        <w:keepNext/>
        <w:spacing w:before="240" w:after="80"/>
        <w:jc w:val="left"/>
      </w:pPr>
      <w:r>
        <w:rPr>
          <w:rFonts w:ascii="Times New Roman" w:hAnsi="Times New Roman"/>
          <w:b/>
          <w:color w:val="2C3E50"/>
          <w:sz w:val="25"/>
        </w:rPr>
        <w:t>7.2 Pregunta de investigación y formulación de hipótesis</w:t>
      </w:r>
    </w:p>
    <w:p>
      <w:pPr>
        <w:spacing w:before="0" w:after="120" w:line="276" w:lineRule="auto"/>
        <w:jc w:val="both"/>
      </w:pPr>
      <w:r>
        <w:rPr>
          <w:rFonts w:ascii="Times New Roman" w:hAnsi="Times New Roman"/>
          <w:b w:val="0"/>
          <w:i w:val="0"/>
          <w:color w:val="222222"/>
          <w:sz w:val="24"/>
        </w:rPr>
        <w:t>Pregunta de investigación: ¿Existe una diferencia estadísticamente significativa entre el promedio de estrellas transformadas (ln_stars_1) y el promedio de bifurcaciones transformadas (ln_forks_1) evaluadas sobre los mismos repositorios de código abierto en Python?</w:t>
      </w:r>
    </w:p>
    <w:p>
      <w:pPr>
        <w:spacing w:before="0" w:after="120" w:line="276" w:lineRule="auto"/>
        <w:jc w:val="both"/>
      </w:pPr>
      <w:r>
        <w:rPr>
          <w:rFonts w:ascii="Times New Roman" w:hAnsi="Times New Roman"/>
          <w:b w:val="0"/>
          <w:i w:val="0"/>
          <w:color w:val="222222"/>
          <w:sz w:val="24"/>
        </w:rPr>
        <w:t>Hipótesis formulada (prueba bilateral sobre la media de las diferencias poblacionales μ_D, α = 0.05):</w:t>
      </w:r>
    </w:p>
    <w:p>
      <w:pPr>
        <w:spacing w:before="0" w:after="120" w:line="276" w:lineRule="auto"/>
        <w:jc w:val="both"/>
      </w:pPr>
      <w:r>
        <w:rPr>
          <w:rFonts w:ascii="Times New Roman" w:hAnsi="Times New Roman"/>
          <w:b w:val="0"/>
          <w:i w:val="0"/>
          <w:color w:val="222222"/>
          <w:sz w:val="24"/>
        </w:rPr>
        <w:t>• H₀: μ_D = 0  (El promedio de las diferencias entre ln_stars_1 y ln_forks_1 es igual a cero; μ_stars = μ_forks).</w:t>
      </w:r>
    </w:p>
    <w:p>
      <w:pPr>
        <w:spacing w:before="0" w:after="120" w:line="276" w:lineRule="auto"/>
        <w:jc w:val="both"/>
      </w:pPr>
      <w:r>
        <w:rPr>
          <w:rFonts w:ascii="Times New Roman" w:hAnsi="Times New Roman"/>
          <w:b w:val="0"/>
          <w:i w:val="0"/>
          <w:color w:val="222222"/>
          <w:sz w:val="24"/>
        </w:rPr>
        <w:t>• H₁: μ_D ≠ 0  (El promedio de las diferencias es distinto de cero; existe una discrepancia significativa entre estrellas y forks).</w:t>
      </w:r>
    </w:p>
    <w:p>
      <w:pPr>
        <w:keepNext/>
        <w:spacing w:before="240" w:after="80"/>
        <w:jc w:val="left"/>
      </w:pPr>
      <w:r>
        <w:rPr>
          <w:rFonts w:ascii="Times New Roman" w:hAnsi="Times New Roman"/>
          <w:b/>
          <w:color w:val="2C3E50"/>
          <w:sz w:val="25"/>
        </w:rPr>
        <w:t>7.3 Cálculo de diferencias emparejadas y verificación de normalidad</w:t>
      </w:r>
    </w:p>
    <w:p>
      <w:pPr>
        <w:spacing w:before="0" w:after="120" w:line="276" w:lineRule="auto"/>
        <w:jc w:val="both"/>
      </w:pPr>
      <w:r>
        <w:rPr>
          <w:rFonts w:ascii="Times New Roman" w:hAnsi="Times New Roman"/>
          <w:b w:val="0"/>
          <w:i w:val="0"/>
          <w:color w:val="222222"/>
          <w:sz w:val="24"/>
        </w:rPr>
        <w:t>Se calculó la variable de diferencia para cada repositorio: D_i = ln(stars_i + 1) - ln(forks_i + 1). La prueba de normalidad de Shapiro–Wilk sobre las diferencias arroja un estadístico W = 0.9662 (gl = 1567, p &lt; 0.0001). Conforme a los postulados del Teorema del Límite Central para n = 1567 &gt;&gt; 30, la distribución muestral de la media de las diferencias D̄ converge a la normalidad de forma asintótica estricta, autorizando plenamente la prueba t para muestras emparejadas.</w:t>
      </w:r>
    </w:p>
    <w:p>
      <w:pPr>
        <w:keepNext/>
        <w:spacing w:before="240" w:after="80"/>
        <w:jc w:val="left"/>
      </w:pPr>
      <w:r>
        <w:rPr>
          <w:rFonts w:ascii="Times New Roman" w:hAnsi="Times New Roman"/>
          <w:b/>
          <w:color w:val="2C3E50"/>
          <w:sz w:val="25"/>
        </w:rPr>
        <w:t>7.4 Aplicación de la prueba t para muestras relacionadas en SPSS</w:t>
      </w:r>
    </w:p>
    <w:p>
      <w:pPr>
        <w:spacing w:before="0" w:after="120" w:line="276" w:lineRule="auto"/>
        <w:jc w:val="both"/>
      </w:pPr>
      <w:r>
        <w:rPr>
          <w:rFonts w:ascii="Times New Roman" w:hAnsi="Times New Roman"/>
          <w:b w:val="0"/>
          <w:i w:val="0"/>
          <w:color w:val="222222"/>
          <w:sz w:val="24"/>
        </w:rPr>
        <w:t>El procesamiento computacional ejecutado en IBM SPSS Statistics proporcionó los siguientes resultados paramétricos exactos:</w:t>
      </w:r>
    </w:p>
    <w:p>
      <w:pPr>
        <w:spacing w:before="0" w:after="120" w:line="276" w:lineRule="auto"/>
        <w:jc w:val="both"/>
      </w:pPr>
      <w:r>
        <w:rPr>
          <w:rFonts w:ascii="Times New Roman" w:hAnsi="Times New Roman"/>
          <w:b w:val="0"/>
          <w:i w:val="0"/>
          <w:color w:val="222222"/>
          <w:sz w:val="24"/>
        </w:rPr>
        <w:t>1. Estadísticas de muestras emparejadas:</w:t>
      </w:r>
    </w:p>
    <w:p>
      <w:pPr>
        <w:spacing w:before="0" w:after="120" w:line="276" w:lineRule="auto"/>
        <w:jc w:val="both"/>
      </w:pPr>
      <w:r>
        <w:rPr>
          <w:rFonts w:ascii="Times New Roman" w:hAnsi="Times New Roman"/>
          <w:b w:val="0"/>
          <w:i w:val="0"/>
          <w:color w:val="222222"/>
          <w:sz w:val="24"/>
        </w:rPr>
        <w:t>• ln_stars_1: Media = 8.977201 (Desv. Est. = 0.503141; Error estándar = 0.012710; n = 1567).</w:t>
      </w:r>
    </w:p>
    <w:p>
      <w:pPr>
        <w:spacing w:before="0" w:after="120" w:line="276" w:lineRule="auto"/>
        <w:jc w:val="both"/>
      </w:pPr>
      <w:r>
        <w:rPr>
          <w:rFonts w:ascii="Times New Roman" w:hAnsi="Times New Roman"/>
          <w:b w:val="0"/>
          <w:i w:val="0"/>
          <w:color w:val="222222"/>
          <w:sz w:val="24"/>
        </w:rPr>
        <w:t>• ln_forks_1: Media = 6.894743 (Desv. Est. = 0.772577; Error estándar = 0.019517; n = 1567).</w:t>
      </w:r>
    </w:p>
    <w:p>
      <w:pPr>
        <w:spacing w:before="0" w:after="120" w:line="276" w:lineRule="auto"/>
        <w:jc w:val="both"/>
      </w:pPr>
      <w:r>
        <w:rPr>
          <w:rFonts w:ascii="Times New Roman" w:hAnsi="Times New Roman"/>
          <w:b w:val="0"/>
          <w:i w:val="0"/>
          <w:color w:val="222222"/>
          <w:sz w:val="24"/>
        </w:rPr>
        <w:t>2. Correlación de Pearson de muestras emparejadas:</w:t>
      </w:r>
    </w:p>
    <w:p>
      <w:pPr>
        <w:spacing w:before="0" w:after="120" w:line="276" w:lineRule="auto"/>
        <w:jc w:val="both"/>
      </w:pPr>
      <w:r>
        <w:rPr>
          <w:rFonts w:ascii="Times New Roman" w:hAnsi="Times New Roman"/>
          <w:b w:val="0"/>
          <w:i w:val="0"/>
          <w:color w:val="222222"/>
          <w:sz w:val="24"/>
        </w:rPr>
        <w:t>• Correlación lineal r = 0.623 (p &lt; 0.001 tanto para un factor como para dos factores). Existe una correlación positiva moderada-fuerte estadísticamente significativa que respalda formalmente la idoneidad del emparejamiento.</w:t>
      </w:r>
    </w:p>
    <w:p>
      <w:pPr>
        <w:spacing w:before="0" w:after="120" w:line="276" w:lineRule="auto"/>
        <w:jc w:val="both"/>
      </w:pPr>
      <w:r>
        <w:rPr>
          <w:rFonts w:ascii="Times New Roman" w:hAnsi="Times New Roman"/>
          <w:b w:val="0"/>
          <w:i w:val="0"/>
          <w:color w:val="222222"/>
          <w:sz w:val="24"/>
        </w:rPr>
        <w:t>3. Prueba t para diferencias emparejadas (ln_stars_1 - ln_forks_1):</w:t>
      </w:r>
    </w:p>
    <w:p>
      <w:pPr>
        <w:spacing w:before="0" w:after="120" w:line="276" w:lineRule="auto"/>
        <w:jc w:val="both"/>
      </w:pPr>
      <w:r>
        <w:rPr>
          <w:rFonts w:ascii="Times New Roman" w:hAnsi="Times New Roman"/>
          <w:b w:val="0"/>
          <w:i w:val="0"/>
          <w:color w:val="222222"/>
          <w:sz w:val="24"/>
        </w:rPr>
        <w:t>• Media de las diferencias (D̄): 2.082458 unidades logarítmicas.</w:t>
      </w:r>
    </w:p>
    <w:p>
      <w:pPr>
        <w:spacing w:before="0" w:after="120" w:line="276" w:lineRule="auto"/>
        <w:jc w:val="both"/>
      </w:pPr>
      <w:r>
        <w:rPr>
          <w:rFonts w:ascii="Times New Roman" w:hAnsi="Times New Roman"/>
          <w:b w:val="0"/>
          <w:i w:val="0"/>
          <w:color w:val="222222"/>
          <w:sz w:val="24"/>
        </w:rPr>
        <w:t>• Desviación estándar de las diferencias (s_D): 0.604453.</w:t>
      </w:r>
    </w:p>
    <w:p>
      <w:pPr>
        <w:spacing w:before="0" w:after="120" w:line="276" w:lineRule="auto"/>
        <w:jc w:val="both"/>
      </w:pPr>
      <w:r>
        <w:rPr>
          <w:rFonts w:ascii="Times New Roman" w:hAnsi="Times New Roman"/>
          <w:b w:val="0"/>
          <w:i w:val="0"/>
          <w:color w:val="222222"/>
          <w:sz w:val="24"/>
        </w:rPr>
        <w:t>• Error estándar de la media de diferencias (SE_D): 0.015270.</w:t>
      </w:r>
    </w:p>
    <w:p>
      <w:pPr>
        <w:spacing w:before="0" w:after="120" w:line="276" w:lineRule="auto"/>
        <w:jc w:val="both"/>
      </w:pPr>
      <w:r>
        <w:rPr>
          <w:rFonts w:ascii="Times New Roman" w:hAnsi="Times New Roman"/>
          <w:b w:val="0"/>
          <w:i w:val="0"/>
          <w:color w:val="222222"/>
          <w:sz w:val="24"/>
        </w:rPr>
        <w:t>• Intervalo de confianza al 95 % de la diferencia: [2.052507 ; 2.112409].</w:t>
      </w:r>
    </w:p>
    <w:p>
      <w:pPr>
        <w:spacing w:before="0" w:after="120" w:line="276" w:lineRule="auto"/>
        <w:jc w:val="both"/>
      </w:pPr>
      <w:r>
        <w:rPr>
          <w:rFonts w:ascii="Times New Roman" w:hAnsi="Times New Roman"/>
          <w:b w:val="0"/>
          <w:i w:val="0"/>
          <w:color w:val="222222"/>
          <w:sz w:val="24"/>
        </w:rPr>
        <w:t>• Estadístico t calculado: t = 136.379.</w:t>
      </w:r>
    </w:p>
    <w:p>
      <w:pPr>
        <w:spacing w:before="0" w:after="120" w:line="276" w:lineRule="auto"/>
        <w:jc w:val="both"/>
      </w:pPr>
      <w:r>
        <w:rPr>
          <w:rFonts w:ascii="Times New Roman" w:hAnsi="Times New Roman"/>
          <w:b w:val="0"/>
          <w:i w:val="0"/>
          <w:color w:val="222222"/>
          <w:sz w:val="24"/>
        </w:rPr>
        <w:t>• Grados de libertad: gl = 1566.</w:t>
      </w:r>
    </w:p>
    <w:p>
      <w:pPr>
        <w:spacing w:before="0" w:after="120" w:line="276" w:lineRule="auto"/>
        <w:jc w:val="both"/>
      </w:pPr>
      <w:r>
        <w:rPr>
          <w:rFonts w:ascii="Times New Roman" w:hAnsi="Times New Roman"/>
          <w:b w:val="0"/>
          <w:i w:val="0"/>
          <w:color w:val="222222"/>
          <w:sz w:val="24"/>
        </w:rPr>
        <w:t>• Significancia bilateral: p &lt; 0.001 (p de un factor &lt; 0.001).</w:t>
      </w:r>
    </w:p>
    <w:p>
      <w:pPr>
        <w:keepNext/>
        <w:spacing w:before="240" w:after="80"/>
        <w:jc w:val="left"/>
      </w:pPr>
      <w:r>
        <w:rPr>
          <w:rFonts w:ascii="Times New Roman" w:hAnsi="Times New Roman"/>
          <w:b/>
          <w:color w:val="2C3E50"/>
          <w:sz w:val="25"/>
        </w:rPr>
        <w:t>7.5 Decisión estadística, tamaño del efecto e interpretación en Ingeniería de Sistemas</w:t>
      </w:r>
    </w:p>
    <w:p>
      <w:pPr>
        <w:spacing w:before="0" w:after="120" w:line="276" w:lineRule="auto"/>
        <w:jc w:val="both"/>
      </w:pPr>
      <w:r>
        <w:rPr>
          <w:rFonts w:ascii="Times New Roman" w:hAnsi="Times New Roman"/>
          <w:b w:val="0"/>
          <w:i w:val="0"/>
          <w:color w:val="222222"/>
          <w:sz w:val="24"/>
        </w:rPr>
        <w:t>Decisión inferencial: Dado que el p-valor (p &lt; 0.001) es abrumadoramente menor a α = 0.05, SE RECHAZA ROTUNDAMENTE LA HIPÓTESIS NULA (H₀) y se acepta la hipótesis alterna (H₁).</w:t>
      </w:r>
    </w:p>
    <w:p>
      <w:pPr>
        <w:spacing w:before="0" w:after="120" w:line="276" w:lineRule="auto"/>
        <w:jc w:val="both"/>
      </w:pPr>
      <w:r>
        <w:rPr>
          <w:rFonts w:ascii="Times New Roman" w:hAnsi="Times New Roman"/>
          <w:b w:val="0"/>
          <w:i w:val="0"/>
          <w:color w:val="222222"/>
          <w:sz w:val="24"/>
        </w:rPr>
        <w:t>Tamaño del efecto para muestras emparejadas (calculado en SPSS):</w:t>
      </w:r>
    </w:p>
    <w:p>
      <w:pPr>
        <w:spacing w:before="0" w:after="120" w:line="276" w:lineRule="auto"/>
        <w:jc w:val="both"/>
      </w:pPr>
      <w:r>
        <w:rPr>
          <w:rFonts w:ascii="Times New Roman" w:hAnsi="Times New Roman"/>
          <w:b w:val="0"/>
          <w:i w:val="0"/>
          <w:color w:val="222222"/>
          <w:sz w:val="24"/>
        </w:rPr>
        <w:t>• d de Cohen: d = D̄ / s_D = 3.445 (IC 95 %: [3.315 ; 3.575]). Estandarizador: s_D = 0.604453.</w:t>
      </w:r>
    </w:p>
    <w:p>
      <w:pPr>
        <w:spacing w:before="0" w:after="120" w:line="276" w:lineRule="auto"/>
        <w:jc w:val="both"/>
      </w:pPr>
      <w:r>
        <w:rPr>
          <w:rFonts w:ascii="Times New Roman" w:hAnsi="Times New Roman"/>
          <w:b w:val="0"/>
          <w:i w:val="0"/>
          <w:color w:val="222222"/>
          <w:sz w:val="24"/>
        </w:rPr>
        <w:t>• Corrección de Hedges: g = 3.444 (IC 95 %: [3.313 ; 3.574]). Estandarizador corregido: 0.604743.</w:t>
      </w:r>
    </w:p>
    <w:p>
      <w:pPr>
        <w:spacing w:before="0" w:after="120" w:line="276" w:lineRule="auto"/>
        <w:jc w:val="both"/>
      </w:pPr>
      <w:r>
        <w:rPr>
          <w:rFonts w:ascii="Times New Roman" w:hAnsi="Times New Roman"/>
          <w:b w:val="0"/>
          <w:i w:val="0"/>
          <w:color w:val="222222"/>
          <w:sz w:val="24"/>
        </w:rPr>
        <w:t>Interpretación profunda: Un valor de d de Cohen de 3.445 representa un tamaño del efecto extraordinariamente masivo (d &gt;&gt; 0.80), rara vez presenciado en estudios de ciencias sociales o ingeniería. En términos prácticos del ecosistema de software, una diferencia logarítmica media de 2.0825 unidades equivale a un factor multiplicativo de e^(2.0825) ≈ 8.02. Esto significa que, de manera sistemática e invariable dentro de un mismo proyecto, existen aproximadamente 8 estrellas por cada bifurcación creada.</w:t>
      </w:r>
    </w:p>
    <w:p>
      <w:pPr>
        <w:spacing w:before="0" w:after="120" w:line="276" w:lineRule="auto"/>
        <w:jc w:val="both"/>
      </w:pPr>
      <w:r>
        <w:rPr>
          <w:rFonts w:ascii="Times New Roman" w:hAnsi="Times New Roman"/>
          <w:b w:val="0"/>
          <w:i w:val="0"/>
          <w:color w:val="222222"/>
          <w:sz w:val="24"/>
        </w:rPr>
        <w:t>La explicación técnica en Ingeniería de Sistemas es transparente: otorgar una estrella es un acto de interacción pasiva y de costo nulo (un clic de aprobación o guardado como favorito), mientras que crear un fork demanda un esfuerzo computacional y cognitivo tangible (clonar el repositorio, configurar entornos, analizar la base de código y proyectar contribuciones). Los datos reales confirman esta asimetría estructural.</w:t>
      </w:r>
    </w:p>
    <w:p>
      <w:pPr>
        <w:keepNext/>
        <w:spacing w:before="160" w:after="40"/>
        <w:jc w:val="center"/>
      </w:pPr>
      <w:r>
        <w:drawing>
          <wp:inline xmlns:a="http://schemas.openxmlformats.org/drawingml/2006/main" xmlns:pic="http://schemas.openxmlformats.org/drawingml/2006/picture">
            <wp:extent cx="5303520" cy="2137774"/>
            <wp:docPr id="20" name="Picture 20"/>
            <wp:cNvGraphicFramePr>
              <a:graphicFrameLocks noChangeAspect="1"/>
            </wp:cNvGraphicFramePr>
            <a:graphic>
              <a:graphicData uri="http://schemas.openxmlformats.org/drawingml/2006/picture">
                <pic:pic>
                  <pic:nvPicPr>
                    <pic:cNvPr id="0" name="image16.png"/>
                    <pic:cNvPicPr/>
                  </pic:nvPicPr>
                  <pic:blipFill>
                    <a:blip r:embed="rId28"/>
                    <a:stretch>
                      <a:fillRect/>
                    </a:stretch>
                  </pic:blipFill>
                  <pic:spPr>
                    <a:xfrm>
                      <a:off x="0" y="0"/>
                      <a:ext cx="5303520" cy="2137774"/>
                    </a:xfrm>
                    <a:prstGeom prst="rect"/>
                  </pic:spPr>
                </pic:pic>
              </a:graphicData>
            </a:graphic>
          </wp:inline>
        </w:drawing>
      </w:r>
    </w:p>
    <w:p>
      <w:pPr>
        <w:spacing w:before="40" w:after="200"/>
        <w:jc w:val="center"/>
      </w:pPr>
      <w:r>
        <w:rPr>
          <w:rFonts w:ascii="Times New Roman" w:hAnsi="Times New Roman"/>
          <w:b/>
          <w:i/>
          <w:color w:val="555555"/>
          <w:sz w:val="20"/>
        </w:rPr>
        <w:t>Figura 19. Salida de SPSS: Estadísticas, Correlaciones (r = 0.623) y Prueba t de muestras emparejadas (t = 136.379, p &lt; 0.001).</w:t>
      </w:r>
    </w:p>
    <w:p>
      <w:pPr>
        <w:keepNext/>
        <w:spacing w:before="160" w:after="40"/>
        <w:jc w:val="center"/>
      </w:pPr>
      <w:r>
        <w:drawing>
          <wp:inline xmlns:a="http://schemas.openxmlformats.org/drawingml/2006/main" xmlns:pic="http://schemas.openxmlformats.org/drawingml/2006/picture">
            <wp:extent cx="5303520" cy="3140470"/>
            <wp:docPr id="21" name="Picture 21"/>
            <wp:cNvGraphicFramePr>
              <a:graphicFrameLocks noChangeAspect="1"/>
            </wp:cNvGraphicFramePr>
            <a:graphic>
              <a:graphicData uri="http://schemas.openxmlformats.org/drawingml/2006/picture">
                <pic:pic>
                  <pic:nvPicPr>
                    <pic:cNvPr id="0" name="image1.png"/>
                    <pic:cNvPicPr/>
                  </pic:nvPicPr>
                  <pic:blipFill>
                    <a:blip r:embed="rId29"/>
                    <a:stretch>
                      <a:fillRect/>
                    </a:stretch>
                  </pic:blipFill>
                  <pic:spPr>
                    <a:xfrm>
                      <a:off x="0" y="0"/>
                      <a:ext cx="5303520" cy="3140470"/>
                    </a:xfrm>
                    <a:prstGeom prst="rect"/>
                  </pic:spPr>
                </pic:pic>
              </a:graphicData>
            </a:graphic>
          </wp:inline>
        </w:drawing>
      </w:r>
    </w:p>
    <w:p>
      <w:pPr>
        <w:spacing w:before="40" w:after="200"/>
        <w:jc w:val="center"/>
      </w:pPr>
      <w:r>
        <w:rPr>
          <w:rFonts w:ascii="Times New Roman" w:hAnsi="Times New Roman"/>
          <w:b/>
          <w:i/>
          <w:color w:val="555555"/>
          <w:sz w:val="20"/>
        </w:rPr>
        <w:t>Figura 20. Ayuda curada de SPSS y Tabla de Tamaños de Efecto de muestras emparejadas (d de Cohen = 3.445, g de Hedges = 3.444).</w:t>
      </w:r>
    </w:p>
    <w:tbl>
      <w:tblPr>
        <w:tblW w:type="auto" w:w="0"/>
        <w:jc w:val="center"/>
        <w:tblLook w:firstColumn="1" w:firstRow="1" w:lastColumn="0" w:lastRow="0" w:noHBand="0" w:noVBand="1" w:val="04A0"/>
      </w:tblPr>
      <w:tblGrid>
        <w:gridCol w:w="9360"/>
      </w:tblGrid>
      <w:tr>
        <w:tc>
          <w:tcPr>
            <w:tcW w:type="dxa" w:w="9360"/>
            <w:shd w:fill="F8F9F9"/>
            <w:tcBorders>
              <w:top w:val="dashed" w:sz="8" w:space="0" w:color="3498DB"/>
              <w:left w:val="dashed" w:sz="8" w:space="0" w:color="3498DB"/>
              <w:bottom w:val="dashed" w:sz="8" w:space="0" w:color="3498DB"/>
              <w:right w:val="dashed" w:sz="8" w:space="0" w:color="3498DB"/>
            </w:tcBorders>
          </w:tcPr>
          <w:p>
            <w:pPr>
              <w:spacing w:before="160" w:after="40"/>
              <w:jc w:val="center"/>
            </w:pPr>
            <w:r>
              <w:rPr>
                <w:rFonts w:ascii="Times New Roman" w:hAnsi="Times New Roman"/>
                <w:b/>
                <w:color w:val="2980B9"/>
                <w:sz w:val="21"/>
              </w:rPr>
              <w:t>📷 [ESPACIO RESERVADO PARA IMAGEN POSTERIOR]</w:t>
              <w:br/>
            </w:r>
            <w:r>
              <w:rPr>
                <w:rFonts w:ascii="Times New Roman" w:hAnsi="Times New Roman"/>
                <w:b/>
                <w:color w:val="1B365D"/>
                <w:sz w:val="22"/>
              </w:rPr>
              <w:t>Prueba de Normalidad de las Diferencias Emparejadas (Shapiro–Wilk)</w:t>
              <w:br/>
            </w:r>
            <w:r>
              <w:rPr>
                <w:rFonts w:ascii="Times New Roman" w:hAnsi="Times New Roman"/>
                <w:i/>
                <w:color w:val="555555"/>
                <w:sz w:val="20"/>
              </w:rPr>
              <w:t>Captura de pantalla de la tabla de Pruebas de Normalidad de SPSS para la variable diff = ln_stars_1 - ln_forks_1.</w:t>
            </w:r>
          </w:p>
          <w:p>
            <w:pPr>
              <w:spacing w:before="40" w:after="120"/>
              <w:jc w:val="center"/>
            </w:pPr>
            <w:r>
              <w:rPr>
                <w:rFonts w:ascii="Times New Roman" w:hAnsi="Times New Roman"/>
                <w:i/>
                <w:color w:val="7F8C8D"/>
                <w:sz w:val="19"/>
              </w:rPr>
              <w:t>Instrucción para el usuario: Inserte aquí la salida de SPSS con el estadístico Shapiro-Wilk de la columna de diferencias calculada.</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8F9F9"/>
            <w:tcBorders>
              <w:top w:val="dashed" w:sz="8" w:space="0" w:color="3498DB"/>
              <w:left w:val="dashed" w:sz="8" w:space="0" w:color="3498DB"/>
              <w:bottom w:val="dashed" w:sz="8" w:space="0" w:color="3498DB"/>
              <w:right w:val="dashed" w:sz="8" w:space="0" w:color="3498DB"/>
            </w:tcBorders>
          </w:tcPr>
          <w:p>
            <w:pPr>
              <w:spacing w:before="160" w:after="40"/>
              <w:jc w:val="center"/>
            </w:pPr>
            <w:r>
              <w:rPr>
                <w:rFonts w:ascii="Times New Roman" w:hAnsi="Times New Roman"/>
                <w:b/>
                <w:color w:val="2980B9"/>
                <w:sz w:val="21"/>
              </w:rPr>
              <w:t>📷 [ESPACIO RESERVADO PARA IMAGEN POSTERIOR]</w:t>
              <w:br/>
            </w:r>
            <w:r>
              <w:rPr>
                <w:rFonts w:ascii="Times New Roman" w:hAnsi="Times New Roman"/>
                <w:b/>
                <w:color w:val="1B365D"/>
                <w:sz w:val="22"/>
              </w:rPr>
              <w:t>Gráfico Q-Q Normal / Histograma de las Diferencias Emparejadas</w:t>
              <w:br/>
            </w:r>
            <w:r>
              <w:rPr>
                <w:rFonts w:ascii="Times New Roman" w:hAnsi="Times New Roman"/>
                <w:i/>
                <w:color w:val="555555"/>
                <w:sz w:val="20"/>
              </w:rPr>
              <w:t>Gráfico Q-Q o histograma de la distribución de las diferencias calculadas en SPSS.</w:t>
            </w:r>
          </w:p>
          <w:p>
            <w:pPr>
              <w:spacing w:before="40" w:after="120"/>
              <w:jc w:val="center"/>
            </w:pPr>
            <w:r>
              <w:rPr>
                <w:rFonts w:ascii="Times New Roman" w:hAnsi="Times New Roman"/>
                <w:i/>
                <w:color w:val="7F8C8D"/>
                <w:sz w:val="19"/>
              </w:rPr>
              <w:t>Instrucción para el usuario: Inserte aquí el gráfico de dispersión Q-Q generado en SPSS para las diferencias emparejadas.</w:t>
            </w:r>
          </w:p>
        </w:tc>
      </w:tr>
    </w:tbl>
    <w:p>
      <w:pPr>
        <w:spacing w:before="0" w:after="120"/>
      </w:pPr>
    </w:p>
    <w:p>
      <w:pPr>
        <w:keepNext/>
        <w:spacing w:before="320" w:after="120"/>
        <w:jc w:val="left"/>
      </w:pPr>
      <w:r>
        <w:rPr>
          <w:rFonts w:ascii="Times New Roman" w:hAnsi="Times New Roman"/>
          <w:b/>
          <w:color w:val="1B365D"/>
          <w:sz w:val="28"/>
        </w:rPr>
        <w:t>8. Análisis de Varianza (ANOVA) para tres o más grupos independientes</w:t>
      </w:r>
    </w:p>
    <w:p>
      <w:pPr>
        <w:keepNext/>
        <w:spacing w:before="240" w:after="80"/>
        <w:jc w:val="left"/>
      </w:pPr>
      <w:r>
        <w:rPr>
          <w:rFonts w:ascii="Times New Roman" w:hAnsi="Times New Roman"/>
          <w:b/>
          <w:color w:val="2C3E50"/>
          <w:sz w:val="25"/>
        </w:rPr>
        <w:t>8.1 Planteamiento y definición de variables</w:t>
      </w:r>
    </w:p>
    <w:p>
      <w:pPr>
        <w:spacing w:before="0" w:after="120" w:line="276" w:lineRule="auto"/>
        <w:jc w:val="both"/>
      </w:pPr>
      <w:r>
        <w:rPr>
          <w:rFonts w:ascii="Times New Roman" w:hAnsi="Times New Roman"/>
          <w:b w:val="0"/>
          <w:i w:val="0"/>
          <w:color w:val="222222"/>
          <w:sz w:val="24"/>
        </w:rPr>
        <w:t>Para dar cumplimiento estricto a la sección de ANOVA de un factor para tres o más grupos independientes, se seleccionaron las siguientes variables del dataset real:</w:t>
      </w:r>
    </w:p>
    <w:p>
      <w:pPr>
        <w:spacing w:before="0" w:after="120" w:line="276" w:lineRule="auto"/>
        <w:jc w:val="both"/>
      </w:pPr>
      <w:r>
        <w:rPr>
          <w:rFonts w:ascii="Times New Roman" w:hAnsi="Times New Roman"/>
          <w:b w:val="0"/>
          <w:i w:val="0"/>
          <w:color w:val="222222"/>
          <w:sz w:val="24"/>
        </w:rPr>
        <w:t>• Variable Dependiente (Cuantitativa continua): ln_open_issues_1 = ln(open_issues + 1), que mide la tasa de incidencias de mantenimiento pendientes.</w:t>
      </w:r>
    </w:p>
    <w:p>
      <w:pPr>
        <w:spacing w:before="0" w:after="120" w:line="276" w:lineRule="auto"/>
        <w:jc w:val="both"/>
      </w:pPr>
      <w:r>
        <w:rPr>
          <w:rFonts w:ascii="Times New Roman" w:hAnsi="Times New Roman"/>
          <w:b w:val="0"/>
          <w:i w:val="0"/>
          <w:color w:val="222222"/>
          <w:sz w:val="24"/>
        </w:rPr>
        <w:t>• Factor o Variable de Agrupación (Cualitativa policotómica de 3 niveles): Tipo de Licencia de Software (lic3), estructurada en:</w:t>
      </w:r>
    </w:p>
    <w:p>
      <w:pPr>
        <w:spacing w:before="0" w:after="120" w:line="276" w:lineRule="auto"/>
        <w:jc w:val="both"/>
      </w:pPr>
      <w:r>
        <w:rPr>
          <w:rFonts w:ascii="Times New Roman" w:hAnsi="Times New Roman"/>
          <w:b w:val="0"/>
          <w:i w:val="0"/>
          <w:color w:val="222222"/>
          <w:sz w:val="24"/>
        </w:rPr>
        <w:t xml:space="preserve">   - Grupo 1 (lic3 = 1.00): Licencia MIT (n₁ = 546 repositorios) — Licencia altamente permisiva y minimalista.</w:t>
      </w:r>
    </w:p>
    <w:p>
      <w:pPr>
        <w:spacing w:before="0" w:after="120" w:line="276" w:lineRule="auto"/>
        <w:jc w:val="both"/>
      </w:pPr>
      <w:r>
        <w:rPr>
          <w:rFonts w:ascii="Times New Roman" w:hAnsi="Times New Roman"/>
          <w:b w:val="0"/>
          <w:i w:val="0"/>
          <w:color w:val="222222"/>
          <w:sz w:val="24"/>
        </w:rPr>
        <w:t xml:space="preserve">   - Grupo 2 (lic3 = 2.00): Licencia Apache-2.0 (n₂ = 405 repositorios) — Licencia permisiva corporativa con cláusulas explícitas de patentes.</w:t>
      </w:r>
    </w:p>
    <w:p>
      <w:pPr>
        <w:spacing w:before="0" w:after="120" w:line="276" w:lineRule="auto"/>
        <w:jc w:val="both"/>
      </w:pPr>
      <w:r>
        <w:rPr>
          <w:rFonts w:ascii="Times New Roman" w:hAnsi="Times New Roman"/>
          <w:b w:val="0"/>
          <w:i w:val="0"/>
          <w:color w:val="222222"/>
          <w:sz w:val="24"/>
        </w:rPr>
        <w:t xml:space="preserve">   - Grupo 3 (lic3 = 3.00): Licencia GPL-3.0 (n₃ = 112 repositorios) — Licencia de software libre con copyleft recíproco fuerte.</w:t>
      </w:r>
    </w:p>
    <w:p>
      <w:pPr>
        <w:spacing w:before="0" w:after="120" w:line="276" w:lineRule="auto"/>
        <w:jc w:val="both"/>
      </w:pPr>
      <w:r>
        <w:rPr>
          <w:rFonts w:ascii="Times New Roman" w:hAnsi="Times New Roman"/>
          <w:b w:val="0"/>
          <w:i w:val="0"/>
          <w:color w:val="222222"/>
          <w:sz w:val="24"/>
        </w:rPr>
        <w:t xml:space="preserve">   - Tamaño total de la muestra bajo ANOVA: N = 1063 repositorios.</w:t>
      </w:r>
    </w:p>
    <w:p>
      <w:pPr>
        <w:keepNext/>
        <w:spacing w:before="240" w:after="80"/>
        <w:jc w:val="left"/>
      </w:pPr>
      <w:r>
        <w:rPr>
          <w:rFonts w:ascii="Times New Roman" w:hAnsi="Times New Roman"/>
          <w:b/>
          <w:color w:val="2C3E50"/>
          <w:sz w:val="25"/>
        </w:rPr>
        <w:t>8.2 Pregunta de investigación y formulación de hipótesis</w:t>
      </w:r>
    </w:p>
    <w:p>
      <w:pPr>
        <w:spacing w:before="0" w:after="120" w:line="276" w:lineRule="auto"/>
        <w:jc w:val="both"/>
      </w:pPr>
      <w:r>
        <w:rPr>
          <w:rFonts w:ascii="Times New Roman" w:hAnsi="Times New Roman"/>
          <w:b w:val="0"/>
          <w:i w:val="0"/>
          <w:color w:val="222222"/>
          <w:sz w:val="24"/>
        </w:rPr>
        <w:t>Pregunta de investigación: ¿Existen diferencias estadísticamente significativas en el nivel medio de incidencias abiertas transformadas (ln_open_issues_1) entre los repositorios de software en Python según su tipo de licencia (MIT, Apache-2.0 y GPL-3.0)?</w:t>
      </w:r>
    </w:p>
    <w:p>
      <w:pPr>
        <w:spacing w:before="0" w:after="120" w:line="276" w:lineRule="auto"/>
        <w:jc w:val="both"/>
      </w:pPr>
      <w:r>
        <w:rPr>
          <w:rFonts w:ascii="Times New Roman" w:hAnsi="Times New Roman"/>
          <w:b w:val="0"/>
          <w:i w:val="0"/>
          <w:color w:val="222222"/>
          <w:sz w:val="24"/>
        </w:rPr>
        <w:t>Hipótesis del Análisis de Varianza (ANOVA):</w:t>
      </w:r>
    </w:p>
    <w:p>
      <w:pPr>
        <w:spacing w:before="0" w:after="120" w:line="276" w:lineRule="auto"/>
        <w:jc w:val="both"/>
      </w:pPr>
      <w:r>
        <w:rPr>
          <w:rFonts w:ascii="Times New Roman" w:hAnsi="Times New Roman"/>
          <w:b w:val="0"/>
          <w:i w:val="0"/>
          <w:color w:val="222222"/>
          <w:sz w:val="24"/>
        </w:rPr>
        <w:t>• Hipótesis Nula (H₀): μ_MIT = μ_Apache = μ_GPL  (Los promedios poblacionales de issues abiertos son iguales entre los tres tipos de licencias).</w:t>
      </w:r>
    </w:p>
    <w:p>
      <w:pPr>
        <w:spacing w:before="0" w:after="120" w:line="276" w:lineRule="auto"/>
        <w:jc w:val="both"/>
      </w:pPr>
      <w:r>
        <w:rPr>
          <w:rFonts w:ascii="Times New Roman" w:hAnsi="Times New Roman"/>
          <w:b w:val="0"/>
          <w:i w:val="0"/>
          <w:color w:val="222222"/>
          <w:sz w:val="24"/>
        </w:rPr>
        <w:t>• Hipótesis Alterna (H₁): Al menos un promedio poblacional de issues abiertos es diferente entre los tipos de licencias.</w:t>
      </w:r>
    </w:p>
    <w:p>
      <w:pPr>
        <w:spacing w:before="0" w:after="120" w:line="276" w:lineRule="auto"/>
        <w:jc w:val="both"/>
      </w:pPr>
      <w:r>
        <w:rPr>
          <w:rFonts w:ascii="Times New Roman" w:hAnsi="Times New Roman"/>
          <w:b w:val="0"/>
          <w:i w:val="0"/>
          <w:color w:val="222222"/>
          <w:sz w:val="24"/>
        </w:rPr>
        <w:t>• Nivel de significancia establecido: α = 0.05.</w:t>
      </w:r>
    </w:p>
    <w:p>
      <w:pPr>
        <w:keepNext/>
        <w:spacing w:before="240" w:after="80"/>
        <w:jc w:val="left"/>
      </w:pPr>
      <w:r>
        <w:rPr>
          <w:rFonts w:ascii="Times New Roman" w:hAnsi="Times New Roman"/>
          <w:b/>
          <w:color w:val="2C3E50"/>
          <w:sz w:val="25"/>
        </w:rPr>
        <w:t>8.3 Estadísticos descriptivos por grupo de licencia</w:t>
      </w:r>
    </w:p>
    <w:p>
      <w:pPr>
        <w:spacing w:before="0" w:after="120" w:line="276" w:lineRule="auto"/>
        <w:jc w:val="both"/>
      </w:pPr>
      <w:r>
        <w:rPr>
          <w:rFonts w:ascii="Times New Roman" w:hAnsi="Times New Roman"/>
          <w:b w:val="0"/>
          <w:i w:val="0"/>
          <w:color w:val="222222"/>
          <w:sz w:val="24"/>
        </w:rPr>
        <w:t>La Tabla 13 resume los descriptivos detallados por grupo de licencia procesados en SPSS y ratificados en Python:</w:t>
      </w:r>
    </w:p>
    <w:p>
      <w:pPr>
        <w:spacing w:before="0" w:after="120" w:line="276" w:lineRule="auto"/>
        <w:jc w:val="center"/>
      </w:pPr>
      <w:r>
        <w:rPr>
          <w:rFonts w:ascii="Times New Roman" w:hAnsi="Times New Roman"/>
          <w:b/>
          <w:i w:val="0"/>
          <w:color w:val="1B365D"/>
          <w:sz w:val="21"/>
        </w:rPr>
        <w:t>Tabla 13. Descriptivos de ln_open_issues_1 por tipo de licencia (N = 1063).</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Licencia (lic3)</w:t>
            </w:r>
          </w:p>
        </w:tc>
        <w:tc>
          <w:tcPr>
            <w:tcW w:type="dxa" w:w="10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N</w:t>
            </w:r>
          </w:p>
        </w:tc>
        <w:tc>
          <w:tcPr>
            <w:tcW w:type="dxa" w:w="10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Media</w:t>
            </w:r>
          </w:p>
        </w:tc>
        <w:tc>
          <w:tcPr>
            <w:tcW w:type="dxa" w:w="10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Desv. Estándar</w:t>
            </w:r>
          </w:p>
        </w:tc>
        <w:tc>
          <w:tcPr>
            <w:tcW w:type="dxa" w:w="10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Error Estándar</w:t>
            </w:r>
          </w:p>
        </w:tc>
        <w:tc>
          <w:tcPr>
            <w:tcW w:type="dxa" w:w="10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IC 95 % Lím. Inf.</w:t>
            </w:r>
          </w:p>
        </w:tc>
        <w:tc>
          <w:tcPr>
            <w:tcW w:type="dxa" w:w="10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IC 95 % Lím. Sup.</w:t>
            </w:r>
          </w:p>
        </w:tc>
        <w:tc>
          <w:tcPr>
            <w:tcW w:type="dxa" w:w="10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Mín.</w:t>
            </w:r>
          </w:p>
        </w:tc>
        <w:tc>
          <w:tcPr>
            <w:tcW w:type="dxa" w:w="10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Máx.</w:t>
            </w:r>
          </w:p>
        </w:tc>
      </w:tr>
      <w:tr>
        <w:trPr>
          <w:cantSplit/>
        </w:trPr>
        <w:tc>
          <w:tcPr>
            <w:tcW w:type="dxa" w:w="104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MIT (1.00)</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546</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4.0227</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1.4769</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0.0632</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3.8985</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4.1469</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0.0000</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8.2973</w:t>
            </w:r>
          </w:p>
        </w:tc>
      </w:tr>
      <w:tr>
        <w:trPr>
          <w:cantSplit/>
        </w:trPr>
        <w:tc>
          <w:tcPr>
            <w:tcW w:type="dxa" w:w="104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Apache-2.0 (2.00)</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405</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4.5735</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1.3876</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0.0689</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4.4379</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4.7090</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0.0000</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7.8590</w:t>
            </w:r>
          </w:p>
        </w:tc>
      </w:tr>
      <w:tr>
        <w:trPr>
          <w:cantSplit/>
        </w:trPr>
        <w:tc>
          <w:tcPr>
            <w:tcW w:type="dxa" w:w="104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GPL-3.0 (3.00)</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112</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4.3647</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1.3920</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0.1315</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4.1041</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4.6254</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0.0000</w:t>
            </w:r>
          </w:p>
        </w:tc>
        <w:tc>
          <w:tcPr>
            <w:tcW w:type="dxa" w:w="10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7.1959</w:t>
            </w:r>
          </w:p>
        </w:tc>
      </w:tr>
      <w:tr>
        <w:trPr>
          <w:cantSplit/>
        </w:trPr>
        <w:tc>
          <w:tcPr>
            <w:tcW w:type="dxa" w:w="104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Total</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1063</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4.2686</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1.4567</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0.0447</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4.1809</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4.3563</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0.0000</w:t>
            </w:r>
          </w:p>
        </w:tc>
        <w:tc>
          <w:tcPr>
            <w:tcW w:type="dxa" w:w="10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8.2973</w:t>
            </w:r>
          </w:p>
        </w:tc>
      </w:tr>
    </w:tbl>
    <w:p>
      <w:pPr>
        <w:spacing w:before="0" w:after="120"/>
      </w:pPr>
    </w:p>
    <w:p>
      <w:pPr>
        <w:keepNext/>
        <w:spacing w:before="240" w:after="80"/>
        <w:jc w:val="left"/>
      </w:pPr>
      <w:r>
        <w:rPr>
          <w:rFonts w:ascii="Times New Roman" w:hAnsi="Times New Roman"/>
          <w:b/>
          <w:color w:val="2C3E50"/>
          <w:sz w:val="25"/>
        </w:rPr>
        <w:t>8.4 Verificación de supuestos: Normalidad y Homogeneidad de Varianzas (Levene)</w:t>
      </w:r>
    </w:p>
    <w:p>
      <w:pPr>
        <w:spacing w:before="0" w:after="120" w:line="276" w:lineRule="auto"/>
        <w:jc w:val="both"/>
      </w:pPr>
      <w:r>
        <w:rPr>
          <w:rFonts w:ascii="Times New Roman" w:hAnsi="Times New Roman"/>
          <w:b w:val="0"/>
          <w:i w:val="0"/>
          <w:color w:val="222222"/>
          <w:sz w:val="24"/>
        </w:rPr>
        <w:t>1. Supuesto de Normalidad por grupo (Shapiro–Wilk):</w:t>
      </w:r>
    </w:p>
    <w:p>
      <w:pPr>
        <w:spacing w:before="0" w:after="120" w:line="276" w:lineRule="auto"/>
        <w:jc w:val="both"/>
      </w:pPr>
      <w:r>
        <w:rPr>
          <w:rFonts w:ascii="Times New Roman" w:hAnsi="Times New Roman"/>
          <w:b w:val="0"/>
          <w:i w:val="0"/>
          <w:color w:val="222222"/>
          <w:sz w:val="24"/>
        </w:rPr>
        <w:t>• Grupo MIT: W = 0.9817 (p &lt; 0.0001; n = 546).</w:t>
      </w:r>
    </w:p>
    <w:p>
      <w:pPr>
        <w:spacing w:before="0" w:after="120" w:line="276" w:lineRule="auto"/>
        <w:jc w:val="both"/>
      </w:pPr>
      <w:r>
        <w:rPr>
          <w:rFonts w:ascii="Times New Roman" w:hAnsi="Times New Roman"/>
          <w:b w:val="0"/>
          <w:i w:val="0"/>
          <w:color w:val="222222"/>
          <w:sz w:val="24"/>
        </w:rPr>
        <w:t>• Grupo Apache-2.0: W = 0.9760 (p &lt; 0.0001; n = 405).</w:t>
      </w:r>
    </w:p>
    <w:p>
      <w:pPr>
        <w:spacing w:before="0" w:after="120" w:line="276" w:lineRule="auto"/>
        <w:jc w:val="both"/>
      </w:pPr>
      <w:r>
        <w:rPr>
          <w:rFonts w:ascii="Times New Roman" w:hAnsi="Times New Roman"/>
          <w:b w:val="0"/>
          <w:i w:val="0"/>
          <w:color w:val="222222"/>
          <w:sz w:val="24"/>
        </w:rPr>
        <w:t>• Grupo GPL-3.0: W = 0.9801 (p = 0.0930; n = 112). Cumple normalidad paramétrica estricta (p ≥ 0.05).</w:t>
      </w:r>
    </w:p>
    <w:p>
      <w:pPr>
        <w:spacing w:before="0" w:after="120" w:line="276" w:lineRule="auto"/>
        <w:jc w:val="both"/>
      </w:pPr>
      <w:r>
        <w:rPr>
          <w:rFonts w:ascii="Times New Roman" w:hAnsi="Times New Roman"/>
          <w:b w:val="0"/>
          <w:i w:val="0"/>
          <w:color w:val="222222"/>
          <w:sz w:val="24"/>
        </w:rPr>
        <w:t>Al amparo del Teorema del Límite Central y la amplia robustez del modelo lineal general para tamaños de celda balanceados y grandes (n ≥ 112 en todas las celdas), la ligera asimetría residual no compromete la validez del estadístico F.</w:t>
      </w:r>
    </w:p>
    <w:p>
      <w:pPr>
        <w:spacing w:before="0" w:after="120" w:line="276" w:lineRule="auto"/>
        <w:jc w:val="both"/>
      </w:pPr>
      <w:r>
        <w:rPr>
          <w:rFonts w:ascii="Times New Roman" w:hAnsi="Times New Roman"/>
          <w:b w:val="0"/>
          <w:i w:val="0"/>
          <w:color w:val="222222"/>
          <w:sz w:val="24"/>
        </w:rPr>
        <w:t>2. Supuesto de Homogeneidad de Varianzas (Prueba de Levene):</w:t>
      </w:r>
    </w:p>
    <w:p>
      <w:pPr>
        <w:spacing w:before="0" w:after="120" w:line="276" w:lineRule="auto"/>
        <w:jc w:val="both"/>
      </w:pPr>
      <w:r>
        <w:rPr>
          <w:rFonts w:ascii="Times New Roman" w:hAnsi="Times New Roman"/>
          <w:b w:val="0"/>
          <w:i w:val="0"/>
          <w:color w:val="222222"/>
          <w:sz w:val="24"/>
        </w:rPr>
        <w:t>En la salida de SPSS se verificó Levene bajo cuatro métricas:</w:t>
      </w:r>
    </w:p>
    <w:p>
      <w:pPr>
        <w:spacing w:before="0" w:after="120" w:line="276" w:lineRule="auto"/>
        <w:jc w:val="both"/>
      </w:pPr>
      <w:r>
        <w:rPr>
          <w:rFonts w:ascii="Times New Roman" w:hAnsi="Times New Roman"/>
          <w:b w:val="0"/>
          <w:i w:val="0"/>
          <w:color w:val="222222"/>
          <w:sz w:val="24"/>
        </w:rPr>
        <w:t>• Se basa en la media: Estadístico de Levene = 1.109, gl1 = 2, gl2 = 1060, Sig. = 0.330.</w:t>
      </w:r>
    </w:p>
    <w:p>
      <w:pPr>
        <w:spacing w:before="0" w:after="120" w:line="276" w:lineRule="auto"/>
        <w:jc w:val="both"/>
      </w:pPr>
      <w:r>
        <w:rPr>
          <w:rFonts w:ascii="Times New Roman" w:hAnsi="Times New Roman"/>
          <w:b w:val="0"/>
          <w:i w:val="0"/>
          <w:color w:val="222222"/>
          <w:sz w:val="24"/>
        </w:rPr>
        <w:t>• Se basa en la mediana: Estadístico = 0.984, gl1 = 2, gl2 = 1060, Sig. = 0.374.</w:t>
      </w:r>
    </w:p>
    <w:p>
      <w:pPr>
        <w:spacing w:before="0" w:after="120" w:line="276" w:lineRule="auto"/>
        <w:jc w:val="both"/>
      </w:pPr>
      <w:r>
        <w:rPr>
          <w:rFonts w:ascii="Times New Roman" w:hAnsi="Times New Roman"/>
          <w:b w:val="0"/>
          <w:i w:val="0"/>
          <w:color w:val="222222"/>
          <w:sz w:val="24"/>
        </w:rPr>
        <w:t>• Se basa en la mediana y con gl ajustado: Estadístico = 0.984, gl1 = 2, gl2 = 1056.894, Sig. = 0.374.</w:t>
      </w:r>
    </w:p>
    <w:p>
      <w:pPr>
        <w:spacing w:before="0" w:after="120" w:line="276" w:lineRule="auto"/>
        <w:jc w:val="both"/>
      </w:pPr>
      <w:r>
        <w:rPr>
          <w:rFonts w:ascii="Times New Roman" w:hAnsi="Times New Roman"/>
          <w:b w:val="0"/>
          <w:i w:val="0"/>
          <w:color w:val="222222"/>
          <w:sz w:val="24"/>
        </w:rPr>
        <w:t>• Se basa en la media recortada: Estadístico = 1.084, gl1 = 2, gl2 = 1060, Sig. = 0.339.</w:t>
      </w:r>
    </w:p>
    <w:p>
      <w:pPr>
        <w:spacing w:before="0" w:after="120" w:line="276" w:lineRule="auto"/>
        <w:jc w:val="both"/>
      </w:pPr>
      <w:r>
        <w:rPr>
          <w:rFonts w:ascii="Times New Roman" w:hAnsi="Times New Roman"/>
          <w:b w:val="0"/>
          <w:i w:val="0"/>
          <w:color w:val="222222"/>
          <w:sz w:val="24"/>
        </w:rPr>
        <w:t>Decisión sobre homocedasticidad: Como el p-valor de Levene basado en la media (p = 0.330) es marcadamente superior a α = 0.05, NO SE RECHAZA LA HOMOGENEIDAD DE VARIANZAS. Las varianzas de las tres poblaciones son estadísticamente homogéneas (iguales), satisfaciendo con excelencia el supuesto crítico del ANOVA clásico.</w:t>
      </w:r>
    </w:p>
    <w:p>
      <w:pPr>
        <w:keepNext/>
        <w:spacing w:before="240" w:after="80"/>
        <w:jc w:val="left"/>
      </w:pPr>
      <w:r>
        <w:rPr>
          <w:rFonts w:ascii="Times New Roman" w:hAnsi="Times New Roman"/>
          <w:b/>
          <w:color w:val="2C3E50"/>
          <w:sz w:val="25"/>
        </w:rPr>
        <w:t>8.5 Aplicación del ANOVA de un factor y prueba robusta de Welch</w:t>
      </w:r>
    </w:p>
    <w:p>
      <w:pPr>
        <w:spacing w:before="0" w:after="120" w:line="276" w:lineRule="auto"/>
        <w:jc w:val="both"/>
      </w:pPr>
      <w:r>
        <w:rPr>
          <w:rFonts w:ascii="Times New Roman" w:hAnsi="Times New Roman"/>
          <w:b w:val="0"/>
          <w:i w:val="0"/>
          <w:color w:val="222222"/>
          <w:sz w:val="24"/>
        </w:rPr>
        <w:t>La descomposición de la suma de cuadrados del ANOVA en IBM SPSS Statistics arrojó los siguientes resultados:</w:t>
      </w:r>
    </w:p>
    <w:p>
      <w:pPr>
        <w:spacing w:before="0" w:after="120" w:line="276" w:lineRule="auto"/>
        <w:jc w:val="center"/>
      </w:pPr>
      <w:r>
        <w:rPr>
          <w:rFonts w:ascii="Times New Roman" w:hAnsi="Times New Roman"/>
          <w:b/>
          <w:i w:val="0"/>
          <w:color w:val="1B365D"/>
          <w:sz w:val="21"/>
        </w:rPr>
        <w:t>Tabla 14. Tabla de Análisis de Varianza (ANOVA) de un factor para ln_open_issues_1.</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Fuente de variación</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Suma de cuadrados (SS)</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gl</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Media cuadrática (MS)</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Estadístico F</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Significancia (Sig.)</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Entre grupos (Tratamiento)</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71.698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2</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35.849</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17.418</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&lt; 0.001</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Dentro de grupos (Error)</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2181.693</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1060</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2.058</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Total</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2253.391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1062</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w:t>
            </w:r>
          </w:p>
        </w:tc>
      </w:tr>
    </w:tbl>
    <w:p>
      <w:pPr>
        <w:spacing w:before="0" w:after="120"/>
      </w:pPr>
    </w:p>
    <w:p>
      <w:pPr>
        <w:spacing w:before="0" w:after="120" w:line="276" w:lineRule="auto"/>
        <w:jc w:val="both"/>
      </w:pPr>
      <w:r>
        <w:rPr>
          <w:rFonts w:ascii="Times New Roman" w:hAnsi="Times New Roman"/>
          <w:b w:val="0"/>
          <w:i w:val="0"/>
          <w:color w:val="222222"/>
          <w:sz w:val="24"/>
        </w:rPr>
        <w:t>Prueba robusta complementaria de Welch: Para garantizar máxima solidez analítica, se calculó el estadístico de Welch asintótico, arrojando F_Welch = 17.511 (gl1 = 2, gl2 = 314.565, p &lt; 0.001), coincidiendo plenamente con el ANOVA ordinario.</w:t>
      </w:r>
    </w:p>
    <w:p>
      <w:pPr>
        <w:keepNext/>
        <w:spacing w:before="240" w:after="80"/>
        <w:jc w:val="left"/>
      </w:pPr>
      <w:r>
        <w:rPr>
          <w:rFonts w:ascii="Times New Roman" w:hAnsi="Times New Roman"/>
          <w:b/>
          <w:color w:val="2C3E50"/>
          <w:sz w:val="25"/>
        </w:rPr>
        <w:t>8.6 Estadístico F, p-valor, tamaños de efecto y decisión estadística</w:t>
      </w:r>
    </w:p>
    <w:p>
      <w:pPr>
        <w:spacing w:before="0" w:after="120" w:line="276" w:lineRule="auto"/>
        <w:jc w:val="both"/>
      </w:pPr>
      <w:r>
        <w:rPr>
          <w:rFonts w:ascii="Times New Roman" w:hAnsi="Times New Roman"/>
          <w:b w:val="0"/>
          <w:i w:val="0"/>
          <w:color w:val="222222"/>
          <w:sz w:val="24"/>
        </w:rPr>
        <w:t>Resultados inferenciales clave:</w:t>
      </w:r>
    </w:p>
    <w:p>
      <w:pPr>
        <w:spacing w:before="0" w:after="120" w:line="276" w:lineRule="auto"/>
        <w:jc w:val="both"/>
      </w:pPr>
      <w:r>
        <w:rPr>
          <w:rFonts w:ascii="Times New Roman" w:hAnsi="Times New Roman"/>
          <w:b w:val="0"/>
          <w:i w:val="0"/>
          <w:color w:val="222222"/>
          <w:sz w:val="24"/>
        </w:rPr>
        <w:t>• Estadístico F = 17.418 (gl_entre = 2, gl_dentro = 1060).</w:t>
      </w:r>
    </w:p>
    <w:p>
      <w:pPr>
        <w:spacing w:before="0" w:after="120" w:line="276" w:lineRule="auto"/>
        <w:jc w:val="both"/>
      </w:pPr>
      <w:r>
        <w:rPr>
          <w:rFonts w:ascii="Times New Roman" w:hAnsi="Times New Roman"/>
          <w:b w:val="0"/>
          <w:i w:val="0"/>
          <w:color w:val="222222"/>
          <w:sz w:val="24"/>
        </w:rPr>
        <w:t>• p-valor asociado: p &lt; 0.001.</w:t>
      </w:r>
    </w:p>
    <w:p>
      <w:pPr>
        <w:spacing w:before="0" w:after="120" w:line="276" w:lineRule="auto"/>
        <w:jc w:val="both"/>
      </w:pPr>
      <w:r>
        <w:rPr>
          <w:rFonts w:ascii="Times New Roman" w:hAnsi="Times New Roman"/>
          <w:b w:val="0"/>
          <w:i w:val="0"/>
          <w:color w:val="222222"/>
          <w:sz w:val="24"/>
        </w:rPr>
        <w:t>• Tamaños del efecto calculados en SPSS:</w:t>
      </w:r>
    </w:p>
    <w:p>
      <w:pPr>
        <w:spacing w:before="0" w:after="120" w:line="276" w:lineRule="auto"/>
        <w:jc w:val="both"/>
      </w:pPr>
      <w:r>
        <w:rPr>
          <w:rFonts w:ascii="Times New Roman" w:hAnsi="Times New Roman"/>
          <w:b w:val="0"/>
          <w:i w:val="0"/>
          <w:color w:val="222222"/>
          <w:sz w:val="24"/>
        </w:rPr>
        <w:t xml:space="preserve">   - Eta cuadrado (η²): η² = SS_entre / SS_total = 71.698 / 2253.391 = 0.032 (IC 95 %: [0.014 ; 0.054]).</w:t>
      </w:r>
    </w:p>
    <w:p>
      <w:pPr>
        <w:spacing w:before="0" w:after="120" w:line="276" w:lineRule="auto"/>
        <w:jc w:val="both"/>
      </w:pPr>
      <w:r>
        <w:rPr>
          <w:rFonts w:ascii="Times New Roman" w:hAnsi="Times New Roman"/>
          <w:b w:val="0"/>
          <w:i w:val="0"/>
          <w:color w:val="222222"/>
          <w:sz w:val="24"/>
        </w:rPr>
        <w:t xml:space="preserve">   - Epsilon cuadrado (ε²): ε² = 0.030 (IC 95 %: [0.012 ; 0.052]).</w:t>
      </w:r>
    </w:p>
    <w:p>
      <w:pPr>
        <w:spacing w:before="0" w:after="120" w:line="276" w:lineRule="auto"/>
        <w:jc w:val="both"/>
      </w:pPr>
      <w:r>
        <w:rPr>
          <w:rFonts w:ascii="Times New Roman" w:hAnsi="Times New Roman"/>
          <w:b w:val="0"/>
          <w:i w:val="0"/>
          <w:color w:val="222222"/>
          <w:sz w:val="24"/>
        </w:rPr>
        <w:t xml:space="preserve">   - Omega cuadrado efecto fijo (ω²): ω² = 0.030 (IC 95 %: [0.012 ; 0.052]).</w:t>
      </w:r>
    </w:p>
    <w:p>
      <w:pPr>
        <w:spacing w:before="0" w:after="120" w:line="276" w:lineRule="auto"/>
        <w:jc w:val="both"/>
      </w:pPr>
      <w:r>
        <w:rPr>
          <w:rFonts w:ascii="Times New Roman" w:hAnsi="Times New Roman"/>
          <w:b w:val="0"/>
          <w:i w:val="0"/>
          <w:color w:val="222222"/>
          <w:sz w:val="24"/>
        </w:rPr>
        <w:t xml:space="preserve">   - Omega cuadrado efecto aleatorio: 0.015 (IC 95 %: [0.006 ; 0.027]).</w:t>
      </w:r>
    </w:p>
    <w:p>
      <w:pPr>
        <w:spacing w:before="0" w:after="120" w:line="276" w:lineRule="auto"/>
        <w:jc w:val="both"/>
      </w:pPr>
      <w:r>
        <w:rPr>
          <w:rFonts w:ascii="Times New Roman" w:hAnsi="Times New Roman"/>
          <w:b w:val="0"/>
          <w:i w:val="0"/>
          <w:color w:val="222222"/>
          <w:sz w:val="24"/>
        </w:rPr>
        <w:t>Decisión estadística: Dado que p-valor &lt; 0.001 &lt; 0.05, SE RECHAZA CONTUNDENTEMENTE LA HIPÓTESIS NULA (H₀) y se acepta la hipótesis alterna (H₁).</w:t>
      </w:r>
    </w:p>
    <w:p>
      <w:pPr>
        <w:keepNext/>
        <w:spacing w:before="240" w:after="80"/>
        <w:jc w:val="left"/>
      </w:pPr>
      <w:r>
        <w:rPr>
          <w:rFonts w:ascii="Times New Roman" w:hAnsi="Times New Roman"/>
          <w:b/>
          <w:color w:val="2C3E50"/>
          <w:sz w:val="25"/>
        </w:rPr>
        <w:t>8.7 Interpretación del resultado en el contexto del software</w:t>
      </w:r>
    </w:p>
    <w:p>
      <w:pPr>
        <w:spacing w:before="0" w:after="120" w:line="276" w:lineRule="auto"/>
        <w:jc w:val="both"/>
      </w:pPr>
      <w:r>
        <w:rPr>
          <w:rFonts w:ascii="Times New Roman" w:hAnsi="Times New Roman"/>
          <w:b w:val="0"/>
          <w:i w:val="0"/>
          <w:color w:val="222222"/>
          <w:sz w:val="24"/>
        </w:rPr>
        <w:t>Interpretación: Existen diferencias altamente significativas entre los promedios de incidencias abiertas transformadas según el marco de licenciamiento de software. El tipo de licencia explica el 3.2 % de la varianza total en la carga de issues abiertos (η² = 0.032). Sin embargo, el ANOVA global únicamente señala que al menos un grupo difiere de los demás, pero no especifica qué licencias generan dicha discrepancia. Por ende, y en estricta coherencia con las pautas de la actividad, es preceptivo continuar con las Pruebas Post Hoc.</w:t>
      </w:r>
    </w:p>
    <w:p>
      <w:pPr>
        <w:keepNext/>
        <w:spacing w:before="160" w:after="40"/>
        <w:jc w:val="center"/>
      </w:pPr>
      <w:r>
        <w:drawing>
          <wp:inline xmlns:a="http://schemas.openxmlformats.org/drawingml/2006/main" xmlns:pic="http://schemas.openxmlformats.org/drawingml/2006/picture">
            <wp:extent cx="5303520" cy="2642730"/>
            <wp:docPr id="22" name="Picture 22"/>
            <wp:cNvGraphicFramePr>
              <a:graphicFrameLocks noChangeAspect="1"/>
            </wp:cNvGraphicFramePr>
            <a:graphic>
              <a:graphicData uri="http://schemas.openxmlformats.org/drawingml/2006/picture">
                <pic:pic>
                  <pic:nvPicPr>
                    <pic:cNvPr id="0" name="image10.png"/>
                    <pic:cNvPicPr/>
                  </pic:nvPicPr>
                  <pic:blipFill>
                    <a:blip r:embed="rId30"/>
                    <a:stretch>
                      <a:fillRect/>
                    </a:stretch>
                  </pic:blipFill>
                  <pic:spPr>
                    <a:xfrm>
                      <a:off x="0" y="0"/>
                      <a:ext cx="5303520" cy="2642730"/>
                    </a:xfrm>
                    <a:prstGeom prst="rect"/>
                  </pic:spPr>
                </pic:pic>
              </a:graphicData>
            </a:graphic>
          </wp:inline>
        </w:drawing>
      </w:r>
    </w:p>
    <w:p>
      <w:pPr>
        <w:spacing w:before="40" w:after="200"/>
        <w:jc w:val="center"/>
      </w:pPr>
      <w:r>
        <w:rPr>
          <w:rFonts w:ascii="Times New Roman" w:hAnsi="Times New Roman"/>
          <w:b/>
          <w:i/>
          <w:color w:val="555555"/>
          <w:sz w:val="20"/>
        </w:rPr>
        <w:t>Figura 21. Tabla de Descriptivos por tipo de licencia y Prueba de Homogeneidad de Varianzas de Levene (F = 1.109, p = 0.330) en SPSS.</w:t>
      </w:r>
    </w:p>
    <w:p>
      <w:pPr>
        <w:keepNext/>
        <w:spacing w:before="160" w:after="40"/>
        <w:jc w:val="center"/>
      </w:pPr>
      <w:r>
        <w:drawing>
          <wp:inline xmlns:a="http://schemas.openxmlformats.org/drawingml/2006/main" xmlns:pic="http://schemas.openxmlformats.org/drawingml/2006/picture">
            <wp:extent cx="5303520" cy="5049722"/>
            <wp:docPr id="23" name="Picture 23"/>
            <wp:cNvGraphicFramePr>
              <a:graphicFrameLocks noChangeAspect="1"/>
            </wp:cNvGraphicFramePr>
            <a:graphic>
              <a:graphicData uri="http://schemas.openxmlformats.org/drawingml/2006/picture">
                <pic:pic>
                  <pic:nvPicPr>
                    <pic:cNvPr id="0" name="image3.png"/>
                    <pic:cNvPicPr/>
                  </pic:nvPicPr>
                  <pic:blipFill>
                    <a:blip r:embed="rId31"/>
                    <a:stretch>
                      <a:fillRect/>
                    </a:stretch>
                  </pic:blipFill>
                  <pic:spPr>
                    <a:xfrm>
                      <a:off x="0" y="0"/>
                      <a:ext cx="5303520" cy="5049722"/>
                    </a:xfrm>
                    <a:prstGeom prst="rect"/>
                  </pic:spPr>
                </pic:pic>
              </a:graphicData>
            </a:graphic>
          </wp:inline>
        </w:drawing>
      </w:r>
    </w:p>
    <w:p>
      <w:pPr>
        <w:spacing w:before="40" w:after="200"/>
        <w:jc w:val="center"/>
      </w:pPr>
      <w:r>
        <w:rPr>
          <w:rFonts w:ascii="Times New Roman" w:hAnsi="Times New Roman"/>
          <w:b/>
          <w:i/>
          <w:color w:val="555555"/>
          <w:sz w:val="20"/>
        </w:rPr>
        <w:t>Figura 22. Tabla ANOVA de un factor (F = 17.418, p &lt; 0.001), Tamaños de Efecto (Eta cuadrado = 0.032) y Prueba Robusta de Welch en SPSS.</w:t>
      </w:r>
    </w:p>
    <w:tbl>
      <w:tblPr>
        <w:tblW w:type="auto" w:w="0"/>
        <w:jc w:val="center"/>
        <w:tblLook w:firstColumn="1" w:firstRow="1" w:lastColumn="0" w:lastRow="0" w:noHBand="0" w:noVBand="1" w:val="04A0"/>
      </w:tblPr>
      <w:tblGrid>
        <w:gridCol w:w="9360"/>
      </w:tblGrid>
      <w:tr>
        <w:tc>
          <w:tcPr>
            <w:tcW w:type="dxa" w:w="9360"/>
            <w:shd w:fill="F8F9F9"/>
            <w:tcBorders>
              <w:top w:val="dashed" w:sz="8" w:space="0" w:color="3498DB"/>
              <w:left w:val="dashed" w:sz="8" w:space="0" w:color="3498DB"/>
              <w:bottom w:val="dashed" w:sz="8" w:space="0" w:color="3498DB"/>
              <w:right w:val="dashed" w:sz="8" w:space="0" w:color="3498DB"/>
            </w:tcBorders>
          </w:tcPr>
          <w:p>
            <w:pPr>
              <w:spacing w:before="160" w:after="40"/>
              <w:jc w:val="center"/>
            </w:pPr>
            <w:r>
              <w:rPr>
                <w:rFonts w:ascii="Times New Roman" w:hAnsi="Times New Roman"/>
                <w:b/>
                <w:color w:val="2980B9"/>
                <w:sz w:val="21"/>
              </w:rPr>
              <w:t>📷 [ESPACIO RESERVADO PARA IMAGEN POSTERIOR]</w:t>
              <w:br/>
            </w:r>
            <w:r>
              <w:rPr>
                <w:rFonts w:ascii="Times New Roman" w:hAnsi="Times New Roman"/>
                <w:b/>
                <w:color w:val="1B365D"/>
                <w:sz w:val="22"/>
              </w:rPr>
              <w:t>Pruebas de Normalidad de Shapiro–Wilk por Grupo de Licencia en SPSS</w:t>
              <w:br/>
            </w:r>
            <w:r>
              <w:rPr>
                <w:rFonts w:ascii="Times New Roman" w:hAnsi="Times New Roman"/>
                <w:i/>
                <w:color w:val="555555"/>
                <w:sz w:val="20"/>
              </w:rPr>
              <w:t>Captura de pantalla de la salida de SPSS con las pruebas de normalidad para cada uno de los 3 grupos de licencias.</w:t>
            </w:r>
          </w:p>
          <w:p>
            <w:pPr>
              <w:spacing w:before="40" w:after="120"/>
              <w:jc w:val="center"/>
            </w:pPr>
            <w:r>
              <w:rPr>
                <w:rFonts w:ascii="Times New Roman" w:hAnsi="Times New Roman"/>
                <w:i/>
                <w:color w:val="7F8C8D"/>
                <w:sz w:val="19"/>
              </w:rPr>
              <w:t>Instrucción para el usuario: Inserte aquí la tabla de normalidad de SPSS generada con Explorar desglosada por factor lic3.</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8F9F9"/>
            <w:tcBorders>
              <w:top w:val="dashed" w:sz="8" w:space="0" w:color="3498DB"/>
              <w:left w:val="dashed" w:sz="8" w:space="0" w:color="3498DB"/>
              <w:bottom w:val="dashed" w:sz="8" w:space="0" w:color="3498DB"/>
              <w:right w:val="dashed" w:sz="8" w:space="0" w:color="3498DB"/>
            </w:tcBorders>
          </w:tcPr>
          <w:p>
            <w:pPr>
              <w:spacing w:before="160" w:after="40"/>
              <w:jc w:val="center"/>
            </w:pPr>
            <w:r>
              <w:rPr>
                <w:rFonts w:ascii="Times New Roman" w:hAnsi="Times New Roman"/>
                <w:b/>
                <w:color w:val="2980B9"/>
                <w:sz w:val="21"/>
              </w:rPr>
              <w:t>📷 [ESPACIO RESERVADO PARA IMAGEN POSTERIOR]</w:t>
              <w:br/>
            </w:r>
            <w:r>
              <w:rPr>
                <w:rFonts w:ascii="Times New Roman" w:hAnsi="Times New Roman"/>
                <w:b/>
                <w:color w:val="1B365D"/>
                <w:sz w:val="22"/>
              </w:rPr>
              <w:t>Gráfico de Medias del ANOVA de un Factor en SPSS</w:t>
              <w:br/>
            </w:r>
            <w:r>
              <w:rPr>
                <w:rFonts w:ascii="Times New Roman" w:hAnsi="Times New Roman"/>
                <w:i/>
                <w:color w:val="555555"/>
                <w:sz w:val="20"/>
              </w:rPr>
              <w:t>Gráfico de líneas de medias con barras de error generado en SPSS para ln_open_issues_1 según tipo de licencia.</w:t>
            </w:r>
          </w:p>
          <w:p>
            <w:pPr>
              <w:spacing w:before="40" w:after="120"/>
              <w:jc w:val="center"/>
            </w:pPr>
            <w:r>
              <w:rPr>
                <w:rFonts w:ascii="Times New Roman" w:hAnsi="Times New Roman"/>
                <w:i/>
                <w:color w:val="7F8C8D"/>
                <w:sz w:val="19"/>
              </w:rPr>
              <w:t>Instrucción para el usuario: Inserte aquí el gráfico de medias obtenido de la opción 'Gráfico de medias' del cuadro de diálogo ANOVA.</w:t>
            </w:r>
          </w:p>
        </w:tc>
      </w:tr>
    </w:tbl>
    <w:p>
      <w:pPr>
        <w:spacing w:before="0" w:after="120"/>
      </w:pPr>
    </w:p>
    <w:p>
      <w:pPr>
        <w:keepNext/>
        <w:spacing w:before="320" w:after="120"/>
        <w:jc w:val="left"/>
      </w:pPr>
      <w:r>
        <w:rPr>
          <w:rFonts w:ascii="Times New Roman" w:hAnsi="Times New Roman"/>
          <w:b/>
          <w:color w:val="1B365D"/>
          <w:sz w:val="28"/>
        </w:rPr>
        <w:t>9. Pruebas Post Hoc: Tukey o Games-Howell según corresponda</w:t>
      </w:r>
    </w:p>
    <w:p>
      <w:pPr>
        <w:keepNext/>
        <w:spacing w:before="240" w:after="80"/>
        <w:jc w:val="left"/>
      </w:pPr>
      <w:r>
        <w:rPr>
          <w:rFonts w:ascii="Times New Roman" w:hAnsi="Times New Roman"/>
          <w:b/>
          <w:color w:val="2C3E50"/>
          <w:sz w:val="25"/>
        </w:rPr>
        <w:t>9.1 Criterio de selección y justificación de la prueba Post Hoc</w:t>
      </w:r>
    </w:p>
    <w:p>
      <w:pPr>
        <w:spacing w:before="0" w:after="120" w:line="276" w:lineRule="auto"/>
        <w:jc w:val="both"/>
      </w:pPr>
      <w:r>
        <w:rPr>
          <w:rFonts w:ascii="Times New Roman" w:hAnsi="Times New Roman"/>
          <w:b w:val="0"/>
          <w:i w:val="0"/>
          <w:color w:val="222222"/>
          <w:sz w:val="24"/>
        </w:rPr>
        <w:t>Directiva de selección metodológica:</w:t>
      </w:r>
    </w:p>
    <w:p>
      <w:pPr>
        <w:spacing w:before="0" w:after="120" w:line="276" w:lineRule="auto"/>
        <w:jc w:val="both"/>
      </w:pPr>
      <w:r>
        <w:rPr>
          <w:rFonts w:ascii="Times New Roman" w:hAnsi="Times New Roman"/>
          <w:b w:val="0"/>
          <w:i w:val="0"/>
          <w:color w:val="222222"/>
          <w:sz w:val="24"/>
        </w:rPr>
        <w:t>• Si la prueba de Levene determina Varianzas Homogéneas (p ≥ 0.05) → Corresponde aplicar la prueba HSD de Tukey (Honest Significant Difference).</w:t>
      </w:r>
    </w:p>
    <w:p>
      <w:pPr>
        <w:spacing w:before="0" w:after="120" w:line="276" w:lineRule="auto"/>
        <w:jc w:val="both"/>
      </w:pPr>
      <w:r>
        <w:rPr>
          <w:rFonts w:ascii="Times New Roman" w:hAnsi="Times New Roman"/>
          <w:b w:val="0"/>
          <w:i w:val="0"/>
          <w:color w:val="222222"/>
          <w:sz w:val="24"/>
        </w:rPr>
        <w:t>• Si la prueba de Levene determina Varianzas Heterogéneas (p &lt; 0.05) → Corresponde aplicar la prueba de Games–Howell.</w:t>
      </w:r>
    </w:p>
    <w:p>
      <w:pPr>
        <w:spacing w:before="0" w:after="120" w:line="276" w:lineRule="auto"/>
        <w:jc w:val="both"/>
      </w:pPr>
      <w:r>
        <w:rPr>
          <w:rFonts w:ascii="Times New Roman" w:hAnsi="Times New Roman"/>
          <w:b w:val="0"/>
          <w:i w:val="0"/>
          <w:color w:val="222222"/>
          <w:sz w:val="24"/>
        </w:rPr>
        <w:t>Justificación de la elección: Como se constató en la Sección 8.4, el estadístico de Levene arrojó F = 1.109 con p = 0.330 ≥ 0.05, confirmando la perfecta homocedasticidad entre los grupos de licencias. Por lo tanto, se justifica plenamente y con rigor matemático el empleo de la prueba HSD de Tukey como procedimiento Post Hoc óptimo.</w:t>
      </w:r>
    </w:p>
    <w:p>
      <w:pPr>
        <w:keepNext/>
        <w:spacing w:before="240" w:after="80"/>
        <w:jc w:val="left"/>
      </w:pPr>
      <w:r>
        <w:rPr>
          <w:rFonts w:ascii="Times New Roman" w:hAnsi="Times New Roman"/>
          <w:b/>
          <w:color w:val="2C3E50"/>
          <w:sz w:val="25"/>
        </w:rPr>
        <w:t>9.2 Comparaciones múltiples por pares (HSD Tukey)</w:t>
      </w:r>
    </w:p>
    <w:p>
      <w:pPr>
        <w:spacing w:before="0" w:after="120" w:line="276" w:lineRule="auto"/>
        <w:jc w:val="both"/>
      </w:pPr>
      <w:r>
        <w:rPr>
          <w:rFonts w:ascii="Times New Roman" w:hAnsi="Times New Roman"/>
          <w:b w:val="0"/>
          <w:i w:val="0"/>
          <w:color w:val="222222"/>
          <w:sz w:val="24"/>
        </w:rPr>
        <w:t>La prueba HSD de Tukey ajusta las tasas de error tipo I para todas las comparaciones pareadas posibles. La Tabla 15 detalla la matriz completa de contrastes extraída de SPSS:</w:t>
      </w:r>
    </w:p>
    <w:p>
      <w:pPr>
        <w:spacing w:before="0" w:after="120" w:line="276" w:lineRule="auto"/>
        <w:jc w:val="center"/>
      </w:pPr>
      <w:r>
        <w:rPr>
          <w:rFonts w:ascii="Times New Roman" w:hAnsi="Times New Roman"/>
          <w:b/>
          <w:i w:val="0"/>
          <w:color w:val="1B365D"/>
          <w:sz w:val="21"/>
        </w:rPr>
        <w:t>Tabla 15. Comparaciones múltiples Post Hoc mediante HSD de Tukey para ln_open_issues_1.</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(I) Licencia</w:t>
            </w:r>
          </w:p>
        </w:tc>
        <w:tc>
          <w:tcPr>
            <w:tcW w:type="dxa" w:w="117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(J) Licencia</w:t>
            </w:r>
          </w:p>
        </w:tc>
        <w:tc>
          <w:tcPr>
            <w:tcW w:type="dxa" w:w="117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Diferencia de medias (I - J)</w:t>
            </w:r>
          </w:p>
        </w:tc>
        <w:tc>
          <w:tcPr>
            <w:tcW w:type="dxa" w:w="117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Error estándar</w:t>
            </w:r>
          </w:p>
        </w:tc>
        <w:tc>
          <w:tcPr>
            <w:tcW w:type="dxa" w:w="117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Sig. ajustada (p)</w:t>
            </w:r>
          </w:p>
        </w:tc>
        <w:tc>
          <w:tcPr>
            <w:tcW w:type="dxa" w:w="117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IC 95 % Lím. Inferior</w:t>
            </w:r>
          </w:p>
        </w:tc>
        <w:tc>
          <w:tcPr>
            <w:tcW w:type="dxa" w:w="117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IC 95 % Lím. Superior</w:t>
            </w:r>
          </w:p>
        </w:tc>
        <w:tc>
          <w:tcPr>
            <w:tcW w:type="dxa" w:w="117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¿Significativo al 5 %?</w:t>
            </w:r>
          </w:p>
        </w:tc>
      </w:tr>
      <w:tr>
        <w:trPr>
          <w:cantSplit/>
        </w:trPr>
        <w:tc>
          <w:tcPr>
            <w:tcW w:type="dxa" w:w="117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MIT (1.00)</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Apache-2.0 (2.00)</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-0.550792 *</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0.094083</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&lt; 0.001</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-0.771605</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-0.329979</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Sí (Diferencia significativa)</w:t>
            </w:r>
          </w:p>
        </w:tc>
      </w:tr>
      <w:tr>
        <w:trPr>
          <w:cantSplit/>
        </w:trPr>
        <w:tc>
          <w:tcPr>
            <w:tcW w:type="dxa" w:w="117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MIT (1.00)</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GPL-3.0 (3.00)</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-0.342007</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0.148817</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0.056</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-0.691280</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0.007266</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 (p ≥ 0.05 marginal)</w:t>
            </w:r>
          </w:p>
        </w:tc>
      </w:tr>
      <w:tr>
        <w:trPr>
          <w:cantSplit/>
        </w:trPr>
        <w:tc>
          <w:tcPr>
            <w:tcW w:type="dxa" w:w="117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Apache-2.0 (2.00)</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MIT (1.00)</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0.550792 *</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0.094083</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&lt; 0.001</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0.329979</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0.771605</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Sí (Diferencia significativa)</w:t>
            </w:r>
          </w:p>
        </w:tc>
      </w:tr>
      <w:tr>
        <w:trPr>
          <w:cantSplit/>
        </w:trPr>
        <w:tc>
          <w:tcPr>
            <w:tcW w:type="dxa" w:w="117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Apache-2.0 (2.00)</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GPL-3.0 (3.00)</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0.208785</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0.153163</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0.361</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-0.150688</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0.568258</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 (No significativo)</w:t>
            </w:r>
          </w:p>
        </w:tc>
      </w:tr>
      <w:tr>
        <w:trPr>
          <w:cantSplit/>
        </w:trPr>
        <w:tc>
          <w:tcPr>
            <w:tcW w:type="dxa" w:w="117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GPL-3.0 (3.00)</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MIT (1.00)</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0.342007</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0.148817</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0.056</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-0.007266</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0.691280</w:t>
            </w:r>
          </w:p>
        </w:tc>
        <w:tc>
          <w:tcPr>
            <w:tcW w:type="dxa" w:w="117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No (p ≥ 0.05 marginal)</w:t>
            </w:r>
          </w:p>
        </w:tc>
      </w:tr>
      <w:tr>
        <w:trPr>
          <w:cantSplit/>
        </w:trPr>
        <w:tc>
          <w:tcPr>
            <w:tcW w:type="dxa" w:w="117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GPL-3.0 (3.00)</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Apache-2.0 (2.00)</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-0.208785</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0.153163</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0.361</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-0.568258</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0.150688</w:t>
            </w:r>
          </w:p>
        </w:tc>
        <w:tc>
          <w:tcPr>
            <w:tcW w:type="dxa" w:w="117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No (No significativo)</w:t>
            </w:r>
          </w:p>
        </w:tc>
      </w:tr>
    </w:tbl>
    <w:p>
      <w:pPr>
        <w:spacing w:before="0" w:after="120"/>
      </w:pPr>
    </w:p>
    <w:p>
      <w:pPr>
        <w:spacing w:before="0" w:after="120" w:line="276" w:lineRule="auto"/>
        <w:jc w:val="center"/>
      </w:pPr>
      <w:r>
        <w:rPr>
          <w:rFonts w:ascii="Times New Roman" w:hAnsi="Times New Roman"/>
          <w:b w:val="0"/>
          <w:i/>
          <w:color w:val="222222"/>
          <w:sz w:val="19"/>
        </w:rPr>
        <w:t>*. La diferencia de medias es estadísticamente significativa en el nivel 0.05.</w:t>
      </w:r>
    </w:p>
    <w:p>
      <w:pPr>
        <w:keepNext/>
        <w:spacing w:before="240" w:after="80"/>
        <w:jc w:val="left"/>
      </w:pPr>
      <w:r>
        <w:rPr>
          <w:rFonts w:ascii="Times New Roman" w:hAnsi="Times New Roman"/>
          <w:b/>
          <w:color w:val="2C3E50"/>
          <w:sz w:val="25"/>
        </w:rPr>
        <w:t>9.3 Diferencias de medias, errores estándar y p-valores ajustados</w:t>
      </w:r>
    </w:p>
    <w:p>
      <w:pPr>
        <w:spacing w:before="0" w:after="120" w:line="276" w:lineRule="auto"/>
        <w:jc w:val="both"/>
      </w:pPr>
      <w:r>
        <w:rPr>
          <w:rFonts w:ascii="Times New Roman" w:hAnsi="Times New Roman"/>
          <w:b w:val="0"/>
          <w:i w:val="0"/>
          <w:color w:val="222222"/>
          <w:sz w:val="24"/>
        </w:rPr>
        <w:t>Análisis detallado de cada par:</w:t>
      </w:r>
    </w:p>
    <w:p>
      <w:pPr>
        <w:spacing w:before="0" w:after="120" w:line="276" w:lineRule="auto"/>
        <w:jc w:val="both"/>
      </w:pPr>
      <w:r>
        <w:rPr>
          <w:rFonts w:ascii="Times New Roman" w:hAnsi="Times New Roman"/>
          <w:b w:val="0"/>
          <w:i w:val="0"/>
          <w:color w:val="222222"/>
          <w:sz w:val="24"/>
        </w:rPr>
        <w:t>1. Comparación MIT vs. Apache-2.0:</w:t>
      </w:r>
    </w:p>
    <w:p>
      <w:pPr>
        <w:spacing w:before="0" w:after="120" w:line="276" w:lineRule="auto"/>
        <w:jc w:val="both"/>
      </w:pPr>
      <w:r>
        <w:rPr>
          <w:rFonts w:ascii="Times New Roman" w:hAnsi="Times New Roman"/>
          <w:b w:val="0"/>
          <w:i w:val="0"/>
          <w:color w:val="222222"/>
          <w:sz w:val="24"/>
        </w:rPr>
        <w:t>• Diferencia de medias: x̄_MIT - x̄_Apache = -0.550792 (Error estándar = 0.094083; p &lt; 0.001; IC 95 %: [-0.7716 ; -0.3300]).</w:t>
      </w:r>
    </w:p>
    <w:p>
      <w:pPr>
        <w:spacing w:before="0" w:after="120" w:line="276" w:lineRule="auto"/>
        <w:jc w:val="both"/>
      </w:pPr>
      <w:r>
        <w:rPr>
          <w:rFonts w:ascii="Times New Roman" w:hAnsi="Times New Roman"/>
          <w:b w:val="0"/>
          <w:i w:val="0"/>
          <w:color w:val="222222"/>
          <w:sz w:val="24"/>
        </w:rPr>
        <w:t>• Decisión: Altamente significativa. Los repositorios con licencia Apache-2.0 presentan en promedio 0.55 unidades logarítmicas más de incidencias abiertas que los de licencia MIT.</w:t>
      </w:r>
    </w:p>
    <w:p>
      <w:pPr>
        <w:spacing w:before="0" w:after="120" w:line="276" w:lineRule="auto"/>
        <w:jc w:val="both"/>
      </w:pPr>
      <w:r>
        <w:rPr>
          <w:rFonts w:ascii="Times New Roman" w:hAnsi="Times New Roman"/>
          <w:b w:val="0"/>
          <w:i w:val="0"/>
          <w:color w:val="222222"/>
          <w:sz w:val="24"/>
        </w:rPr>
        <w:t>2. Comparación MIT vs. GPL-3.0:</w:t>
      </w:r>
    </w:p>
    <w:p>
      <w:pPr>
        <w:spacing w:before="0" w:after="120" w:line="276" w:lineRule="auto"/>
        <w:jc w:val="both"/>
      </w:pPr>
      <w:r>
        <w:rPr>
          <w:rFonts w:ascii="Times New Roman" w:hAnsi="Times New Roman"/>
          <w:b w:val="0"/>
          <w:i w:val="0"/>
          <w:color w:val="222222"/>
          <w:sz w:val="24"/>
        </w:rPr>
        <w:t>• Diferencia de medias: x̄_MIT - x̄_GPL = -0.342007 (Error estándar = 0.148817; p = 0.056; IC 95 %: [-0.6913 ; 0.0073]).</w:t>
      </w:r>
    </w:p>
    <w:p>
      <w:pPr>
        <w:spacing w:before="0" w:after="120" w:line="276" w:lineRule="auto"/>
        <w:jc w:val="both"/>
      </w:pPr>
      <w:r>
        <w:rPr>
          <w:rFonts w:ascii="Times New Roman" w:hAnsi="Times New Roman"/>
          <w:b w:val="0"/>
          <w:i w:val="0"/>
          <w:color w:val="222222"/>
          <w:sz w:val="24"/>
        </w:rPr>
        <w:t>• Decisión: No significativa al nivel α = 0.05. Aunque existe una ligera tendencia hacia mayor volumen en GPL-3.0, el p-valor de 0.056 supera la cota crítica convencional.</w:t>
      </w:r>
    </w:p>
    <w:p>
      <w:pPr>
        <w:spacing w:before="0" w:after="120" w:line="276" w:lineRule="auto"/>
        <w:jc w:val="both"/>
      </w:pPr>
      <w:r>
        <w:rPr>
          <w:rFonts w:ascii="Times New Roman" w:hAnsi="Times New Roman"/>
          <w:b w:val="0"/>
          <w:i w:val="0"/>
          <w:color w:val="222222"/>
          <w:sz w:val="24"/>
        </w:rPr>
        <w:t>3. Comparación Apache-2.0 vs. GPL-3.0:</w:t>
      </w:r>
    </w:p>
    <w:p>
      <w:pPr>
        <w:spacing w:before="0" w:after="120" w:line="276" w:lineRule="auto"/>
        <w:jc w:val="both"/>
      </w:pPr>
      <w:r>
        <w:rPr>
          <w:rFonts w:ascii="Times New Roman" w:hAnsi="Times New Roman"/>
          <w:b w:val="0"/>
          <w:i w:val="0"/>
          <w:color w:val="222222"/>
          <w:sz w:val="24"/>
        </w:rPr>
        <w:t>• Diferencia de medias: x̄_Apache - x̄_GPL = 0.208785 (Error estándar = 0.153163; p = 0.361; IC 95 %: [-0.1507 ; 0.5683]).</w:t>
      </w:r>
    </w:p>
    <w:p>
      <w:pPr>
        <w:spacing w:before="0" w:after="120" w:line="276" w:lineRule="auto"/>
        <w:jc w:val="both"/>
      </w:pPr>
      <w:r>
        <w:rPr>
          <w:rFonts w:ascii="Times New Roman" w:hAnsi="Times New Roman"/>
          <w:b w:val="0"/>
          <w:i w:val="0"/>
          <w:color w:val="222222"/>
          <w:sz w:val="24"/>
        </w:rPr>
        <w:t>• Decisión: No significativa. No existe evidencia de diferencia entre los repositorios Apache-2.0 y GPL-3.0.</w:t>
      </w:r>
    </w:p>
    <w:p>
      <w:pPr>
        <w:keepNext/>
        <w:spacing w:before="240" w:after="80"/>
        <w:jc w:val="left"/>
      </w:pPr>
      <w:r>
        <w:rPr>
          <w:rFonts w:ascii="Times New Roman" w:hAnsi="Times New Roman"/>
          <w:b/>
          <w:color w:val="2C3E50"/>
          <w:sz w:val="25"/>
        </w:rPr>
        <w:t>9.4 Análisis de subconjuntos homogéneos</w:t>
      </w:r>
    </w:p>
    <w:p>
      <w:pPr>
        <w:spacing w:before="0" w:after="120" w:line="276" w:lineRule="auto"/>
        <w:jc w:val="both"/>
      </w:pPr>
      <w:r>
        <w:rPr>
          <w:rFonts w:ascii="Times New Roman" w:hAnsi="Times New Roman"/>
          <w:b w:val="0"/>
          <w:i w:val="0"/>
          <w:color w:val="222222"/>
          <w:sz w:val="24"/>
        </w:rPr>
        <w:t>La prueba HSD de Tukey sintetiza los resultados agrupando las categorías en subconjuntos homogéneos cuyas medias no difieren significativamente entre sí al nivel α = 0.05:</w:t>
      </w:r>
    </w:p>
    <w:p>
      <w:pPr>
        <w:spacing w:before="0" w:after="120" w:line="276" w:lineRule="auto"/>
        <w:jc w:val="center"/>
      </w:pPr>
      <w:r>
        <w:rPr>
          <w:rFonts w:ascii="Times New Roman" w:hAnsi="Times New Roman"/>
          <w:b/>
          <w:i w:val="0"/>
          <w:color w:val="1B365D"/>
          <w:sz w:val="21"/>
        </w:rPr>
        <w:t>Tabla 16. Subconjuntos homogéneos HSD de Tukey para ln_open_issues_1 (α = 0.05).</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Tipo de Licencia (lic3)</w:t>
            </w:r>
          </w:p>
        </w:tc>
        <w:tc>
          <w:tcPr>
            <w:tcW w:type="dxa" w:w="23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N</w:t>
            </w:r>
          </w:p>
        </w:tc>
        <w:tc>
          <w:tcPr>
            <w:tcW w:type="dxa" w:w="23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Subconjunto 1 (Baja carga de issues)</w:t>
            </w:r>
          </w:p>
        </w:tc>
        <w:tc>
          <w:tcPr>
            <w:tcW w:type="dxa" w:w="234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20"/>
              </w:rPr>
              <w:t>Subconjunto 2 (Alta carga de issues)</w:t>
            </w:r>
          </w:p>
        </w:tc>
      </w:tr>
      <w:tr>
        <w:trPr>
          <w:cantSplit/>
        </w:trPr>
        <w:tc>
          <w:tcPr>
            <w:tcW w:type="dxa" w:w="234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MIT (1.00)</w:t>
            </w:r>
          </w:p>
        </w:tc>
        <w:tc>
          <w:tcPr>
            <w:tcW w:type="dxa" w:w="23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546</w:t>
            </w:r>
          </w:p>
        </w:tc>
        <w:tc>
          <w:tcPr>
            <w:tcW w:type="dxa" w:w="23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4.022699</w:t>
            </w:r>
          </w:p>
        </w:tc>
        <w:tc>
          <w:tcPr>
            <w:tcW w:type="dxa" w:w="23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w:t>
            </w:r>
          </w:p>
        </w:tc>
      </w:tr>
      <w:tr>
        <w:trPr>
          <w:cantSplit/>
        </w:trPr>
        <w:tc>
          <w:tcPr>
            <w:tcW w:type="dxa" w:w="234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GPL-3.0 (3.00)</w:t>
            </w:r>
          </w:p>
        </w:tc>
        <w:tc>
          <w:tcPr>
            <w:tcW w:type="dxa" w:w="23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112</w:t>
            </w:r>
          </w:p>
        </w:tc>
        <w:tc>
          <w:tcPr>
            <w:tcW w:type="dxa" w:w="23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w:t>
            </w:r>
          </w:p>
        </w:tc>
        <w:tc>
          <w:tcPr>
            <w:tcW w:type="dxa" w:w="23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4.364706</w:t>
            </w:r>
          </w:p>
        </w:tc>
      </w:tr>
      <w:tr>
        <w:trPr>
          <w:cantSplit/>
        </w:trPr>
        <w:tc>
          <w:tcPr>
            <w:tcW w:type="dxa" w:w="234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9"/>
              </w:rPr>
              <w:t>Apache-2.0 (2.00)</w:t>
            </w:r>
          </w:p>
        </w:tc>
        <w:tc>
          <w:tcPr>
            <w:tcW w:type="dxa" w:w="23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405</w:t>
            </w:r>
          </w:p>
        </w:tc>
        <w:tc>
          <w:tcPr>
            <w:tcW w:type="dxa" w:w="23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w:t>
            </w:r>
          </w:p>
        </w:tc>
        <w:tc>
          <w:tcPr>
            <w:tcW w:type="dxa" w:w="234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9"/>
              </w:rPr>
              <w:t>4.573491</w:t>
            </w:r>
          </w:p>
        </w:tc>
      </w:tr>
      <w:tr>
        <w:trPr>
          <w:cantSplit/>
        </w:trPr>
        <w:tc>
          <w:tcPr>
            <w:tcW w:type="dxa" w:w="234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9"/>
              </w:rPr>
              <w:t>Significancia observada (p)</w:t>
            </w:r>
          </w:p>
        </w:tc>
        <w:tc>
          <w:tcPr>
            <w:tcW w:type="dxa" w:w="23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w:t>
            </w:r>
          </w:p>
        </w:tc>
        <w:tc>
          <w:tcPr>
            <w:tcW w:type="dxa" w:w="23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1.000</w:t>
            </w:r>
          </w:p>
        </w:tc>
        <w:tc>
          <w:tcPr>
            <w:tcW w:type="dxa" w:w="234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9"/>
              </w:rPr>
              <w:t>0.268</w:t>
            </w:r>
          </w:p>
        </w:tc>
      </w:tr>
    </w:tbl>
    <w:p>
      <w:pPr>
        <w:spacing w:before="0" w:after="120"/>
      </w:pPr>
    </w:p>
    <w:p>
      <w:pPr>
        <w:spacing w:before="0" w:after="120" w:line="276" w:lineRule="auto"/>
        <w:jc w:val="center"/>
      </w:pPr>
      <w:r>
        <w:rPr>
          <w:rFonts w:ascii="Times New Roman" w:hAnsi="Times New Roman"/>
          <w:b w:val="0"/>
          <w:i/>
          <w:color w:val="222222"/>
          <w:sz w:val="19"/>
        </w:rPr>
        <w:t>Se visualizan las medias para los grupos en los subconjuntos homogéneos basados en la media armónica de los tamaños muestrales (n_h = 226.771).</w:t>
      </w:r>
    </w:p>
    <w:p>
      <w:pPr>
        <w:keepNext/>
        <w:spacing w:before="240" w:after="80"/>
        <w:jc w:val="left"/>
      </w:pPr>
      <w:r>
        <w:rPr>
          <w:rFonts w:ascii="Times New Roman" w:hAnsi="Times New Roman"/>
          <w:b/>
          <w:color w:val="2C3E50"/>
          <w:sz w:val="25"/>
        </w:rPr>
        <w:t>9.5 Interpretación contextual en Ingeniería de Software</w:t>
      </w:r>
    </w:p>
    <w:p>
      <w:pPr>
        <w:spacing w:before="0" w:after="120" w:line="276" w:lineRule="auto"/>
        <w:jc w:val="both"/>
      </w:pPr>
      <w:r>
        <w:rPr>
          <w:rFonts w:ascii="Times New Roman" w:hAnsi="Times New Roman"/>
          <w:b w:val="0"/>
          <w:i w:val="0"/>
          <w:color w:val="222222"/>
          <w:sz w:val="24"/>
        </w:rPr>
        <w:t>El análisis de subconjuntos homogéneos revela una clara bifurcación en la gestión de proyectos de código abierto:</w:t>
      </w:r>
    </w:p>
    <w:p>
      <w:pPr>
        <w:spacing w:before="0" w:after="120" w:line="276" w:lineRule="auto"/>
        <w:jc w:val="both"/>
      </w:pPr>
      <w:r>
        <w:rPr>
          <w:rFonts w:ascii="Times New Roman" w:hAnsi="Times New Roman"/>
          <w:b w:val="0"/>
          <w:i w:val="0"/>
          <w:color w:val="222222"/>
          <w:sz w:val="24"/>
        </w:rPr>
        <w:t>• El Subconjunto 1 está conformado en exclusiva por la Licencia MIT (media = 4.0227). La licencia MIT es el epítome del minimalismo normativo: otorga permisos irrestrictos de uso, copia y modificación con mínimas obligaciones formales. Esto propicia repositorios livianos, herramientas concisas y bibliotecas modulares donde el flujo de incidencias pendientes se resuelve o depura con agilidad, manteniendo una baja carga de issues abiertos.</w:t>
      </w:r>
    </w:p>
    <w:p>
      <w:pPr>
        <w:spacing w:before="0" w:after="120" w:line="276" w:lineRule="auto"/>
        <w:jc w:val="both"/>
      </w:pPr>
      <w:r>
        <w:rPr>
          <w:rFonts w:ascii="Times New Roman" w:hAnsi="Times New Roman"/>
          <w:b w:val="0"/>
          <w:i w:val="0"/>
          <w:color w:val="222222"/>
          <w:sz w:val="24"/>
        </w:rPr>
        <w:t>• El Subconjunto 2 agrupa a las Licencias GPL-3.0 (media = 4.3647) y Apache-2.0 (media = 4.5735), cuya diferencia mutua no es significativa (p = 0.268). Tanto Apache-2.0 como GPL-3.0 son marcos de licenciamiento altamente estructurados. Apache-2.0 es adoptada mayoritariamente por consorcios empresariales y proyectos de gran infraestructura de software (como el ecosistema Apache Foundation), caracterizados por estrictos procesos de gobernanza, auditoría de código, requerimientos corporativos complejos y prolongados debates técnicos que mantienen abiertas incidencias durante meses o años. Por su parte, GPL-3.0 exige el cumplimiento de copyleft recíproco y compatibilidad de dependencias, atrayendo discusiones comunitarias extensas sobre licenciamiento y arquitectura.</w:t>
      </w:r>
    </w:p>
    <w:p>
      <w:pPr>
        <w:spacing w:before="0" w:after="120" w:line="276" w:lineRule="auto"/>
        <w:jc w:val="both"/>
      </w:pPr>
      <w:r>
        <w:rPr>
          <w:rFonts w:ascii="Times New Roman" w:hAnsi="Times New Roman"/>
          <w:b w:val="0"/>
          <w:i w:val="0"/>
          <w:color w:val="222222"/>
          <w:sz w:val="24"/>
        </w:rPr>
        <w:t>En conclusión, la diferencia significativa detectada por el ANOVA no es genérica ni azarosa: obedece a la distancia estructural entre la agilidad minimalista de MIT frente a la gobernanza corporativa e institucional de Apache-2.0.</w:t>
      </w:r>
    </w:p>
    <w:p>
      <w:pPr>
        <w:keepNext/>
        <w:spacing w:before="160" w:after="40"/>
        <w:jc w:val="center"/>
      </w:pPr>
      <w:r>
        <w:drawing>
          <wp:inline xmlns:a="http://schemas.openxmlformats.org/drawingml/2006/main" xmlns:pic="http://schemas.openxmlformats.org/drawingml/2006/picture">
            <wp:extent cx="5303520" cy="6106822"/>
            <wp:docPr id="24" name="Picture 24"/>
            <wp:cNvGraphicFramePr>
              <a:graphicFrameLocks noChangeAspect="1"/>
            </wp:cNvGraphicFramePr>
            <a:graphic>
              <a:graphicData uri="http://schemas.openxmlformats.org/drawingml/2006/picture">
                <pic:pic>
                  <pic:nvPicPr>
                    <pic:cNvPr id="0" name="image13.png"/>
                    <pic:cNvPicPr/>
                  </pic:nvPicPr>
                  <pic:blipFill>
                    <a:blip r:embed="rId32"/>
                    <a:stretch>
                      <a:fillRect/>
                    </a:stretch>
                  </pic:blipFill>
                  <pic:spPr>
                    <a:xfrm>
                      <a:off x="0" y="0"/>
                      <a:ext cx="5303520" cy="6106822"/>
                    </a:xfrm>
                    <a:prstGeom prst="rect"/>
                  </pic:spPr>
                </pic:pic>
              </a:graphicData>
            </a:graphic>
          </wp:inline>
        </w:drawing>
      </w:r>
    </w:p>
    <w:p>
      <w:pPr>
        <w:spacing w:before="40" w:after="200"/>
        <w:jc w:val="center"/>
      </w:pPr>
      <w:r>
        <w:rPr>
          <w:rFonts w:ascii="Times New Roman" w:hAnsi="Times New Roman"/>
          <w:b/>
          <w:i/>
          <w:color w:val="555555"/>
          <w:sz w:val="20"/>
        </w:rPr>
        <w:t>Figura 23. Tabla de Comparaciones Múltiples Post Hoc HSD de Tukey para ln_open_issues_1 en SPSS.</w:t>
      </w:r>
    </w:p>
    <w:p>
      <w:pPr>
        <w:keepNext/>
        <w:spacing w:before="160" w:after="40"/>
        <w:jc w:val="center"/>
      </w:pPr>
      <w:r>
        <w:drawing>
          <wp:inline xmlns:a="http://schemas.openxmlformats.org/drawingml/2006/main" xmlns:pic="http://schemas.openxmlformats.org/drawingml/2006/picture">
            <wp:extent cx="5303520" cy="5289263"/>
            <wp:docPr id="25" name="Picture 25"/>
            <wp:cNvGraphicFramePr>
              <a:graphicFrameLocks noChangeAspect="1"/>
            </wp:cNvGraphicFramePr>
            <a:graphic>
              <a:graphicData uri="http://schemas.openxmlformats.org/drawingml/2006/picture">
                <pic:pic>
                  <pic:nvPicPr>
                    <pic:cNvPr id="0" name="image4.png"/>
                    <pic:cNvPicPr/>
                  </pic:nvPicPr>
                  <pic:blipFill>
                    <a:blip r:embed="rId33"/>
                    <a:stretch>
                      <a:fillRect/>
                    </a:stretch>
                  </pic:blipFill>
                  <pic:spPr>
                    <a:xfrm>
                      <a:off x="0" y="0"/>
                      <a:ext cx="5303520" cy="5289263"/>
                    </a:xfrm>
                    <a:prstGeom prst="rect"/>
                  </pic:spPr>
                </pic:pic>
              </a:graphicData>
            </a:graphic>
          </wp:inline>
        </w:drawing>
      </w:r>
    </w:p>
    <w:p>
      <w:pPr>
        <w:spacing w:before="40" w:after="200"/>
        <w:jc w:val="center"/>
      </w:pPr>
      <w:r>
        <w:rPr>
          <w:rFonts w:ascii="Times New Roman" w:hAnsi="Times New Roman"/>
          <w:b/>
          <w:i/>
          <w:color w:val="555555"/>
          <w:sz w:val="20"/>
        </w:rPr>
        <w:t>Figura 24. Tabla de Subconjuntos Homogéneos HSD de Tukey clasificando a MIT en el Subconjunto 1 y a GPL-3.0 y Apache-2.0 en el Subconjunto 2.</w:t>
      </w:r>
    </w:p>
    <w:tbl>
      <w:tblPr>
        <w:tblW w:type="auto" w:w="0"/>
        <w:jc w:val="center"/>
        <w:tblLook w:firstColumn="1" w:firstRow="1" w:lastColumn="0" w:lastRow="0" w:noHBand="0" w:noVBand="1" w:val="04A0"/>
      </w:tblPr>
      <w:tblGrid>
        <w:gridCol w:w="9360"/>
      </w:tblGrid>
      <w:tr>
        <w:tc>
          <w:tcPr>
            <w:tcW w:type="dxa" w:w="9360"/>
            <w:shd w:fill="F8F9F9"/>
            <w:tcBorders>
              <w:top w:val="dashed" w:sz="8" w:space="0" w:color="3498DB"/>
              <w:left w:val="dashed" w:sz="8" w:space="0" w:color="3498DB"/>
              <w:bottom w:val="dashed" w:sz="8" w:space="0" w:color="3498DB"/>
              <w:right w:val="dashed" w:sz="8" w:space="0" w:color="3498DB"/>
            </w:tcBorders>
          </w:tcPr>
          <w:p>
            <w:pPr>
              <w:spacing w:before="160" w:after="40"/>
              <w:jc w:val="center"/>
            </w:pPr>
            <w:r>
              <w:rPr>
                <w:rFonts w:ascii="Times New Roman" w:hAnsi="Times New Roman"/>
                <w:b/>
                <w:color w:val="2980B9"/>
                <w:sz w:val="21"/>
              </w:rPr>
              <w:t>📷 [ESPACIO RESERVADO PARA IMAGEN POSTERIOR]</w:t>
              <w:br/>
            </w:r>
            <w:r>
              <w:rPr>
                <w:rFonts w:ascii="Times New Roman" w:hAnsi="Times New Roman"/>
                <w:b/>
                <w:color w:val="1B365D"/>
                <w:sz w:val="22"/>
              </w:rPr>
              <w:t>Diagrama de Cajas Comparativo Post Hoc por Tipo de Licencia</w:t>
              <w:br/>
            </w:r>
            <w:r>
              <w:rPr>
                <w:rFonts w:ascii="Times New Roman" w:hAnsi="Times New Roman"/>
                <w:i/>
                <w:color w:val="555555"/>
                <w:sz w:val="20"/>
              </w:rPr>
              <w:t>Boxplot de ln_open_issues_1 desglosado por MIT, Apache-2.0 y GPL-3.0 generado en SPSS.</w:t>
            </w:r>
          </w:p>
          <w:p>
            <w:pPr>
              <w:spacing w:before="40" w:after="120"/>
              <w:jc w:val="center"/>
            </w:pPr>
            <w:r>
              <w:rPr>
                <w:rFonts w:ascii="Times New Roman" w:hAnsi="Times New Roman"/>
                <w:i/>
                <w:color w:val="7F8C8D"/>
                <w:sz w:val="19"/>
              </w:rPr>
              <w:t>Instrucción para el usuario: Inserte aquí el diagrama de cajas que visualice la distribución y medianas de cada subconjunto homogéneo.</w:t>
            </w:r>
          </w:p>
        </w:tc>
      </w:tr>
    </w:tbl>
    <w:p>
      <w:pPr>
        <w:spacing w:before="0" w:after="120"/>
      </w:pPr>
    </w:p>
    <w:p>
      <w:pPr>
        <w:keepNext/>
        <w:spacing w:before="320" w:after="120"/>
        <w:jc w:val="left"/>
      </w:pPr>
      <w:r>
        <w:rPr>
          <w:rFonts w:ascii="Times New Roman" w:hAnsi="Times New Roman"/>
          <w:b/>
          <w:color w:val="1B365D"/>
          <w:sz w:val="28"/>
        </w:rPr>
        <w:t>10. Conclusiones</w:t>
      </w:r>
    </w:p>
    <w:p>
      <w:pPr>
        <w:spacing w:before="0" w:after="120" w:line="276" w:lineRule="auto"/>
        <w:jc w:val="both"/>
      </w:pPr>
      <w:r>
        <w:rPr>
          <w:rFonts w:ascii="Times New Roman" w:hAnsi="Times New Roman"/>
          <w:b w:val="0"/>
          <w:i w:val="0"/>
          <w:color w:val="222222"/>
          <w:sz w:val="24"/>
        </w:rPr>
        <w:t>Las conclusiones del presente estudio se sustentan estrictamente en la evidencia estadística inferencial obtenida a partir del análisis de 1567 repositorios reales de software libre en Python extraídos de GitHub:</w:t>
      </w:r>
    </w:p>
    <w:p>
      <w:pPr>
        <w:spacing w:before="60" w:after="100" w:line="276" w:lineRule="auto"/>
      </w:pPr>
      <w:r>
        <w:rPr>
          <w:rFonts w:ascii="Times New Roman" w:hAnsi="Times New Roman"/>
          <w:b/>
          <w:color w:val="1B365D"/>
          <w:sz w:val="22"/>
        </w:rPr>
        <w:t>• 1. Respecto a la popularidad de los repositorios frente al estándar de una muestra (Q1):</w:t>
      </w:r>
      <w:r>
        <w:rPr>
          <w:rFonts w:ascii="Times New Roman" w:hAnsi="Times New Roman"/>
          <w:sz w:val="22"/>
        </w:rPr>
        <w:t xml:space="preserve">  No existe evidencia estadística suficiente para rechazar que el promedio poblacional de estrellas de los repositorios de Python coincida con el valor de referencia de 9000 estrellas (t = -0.324, gl = 1566, p = 0.746). La diferencia de -36.12 estrellas es insignificante y ostenta un tamaño del efecto nulo (d = -0.008), lo que confirma con 95 % de confianza que la muestra analizada representa a un estrato altamente consolidado de la comunidad tecnológica. Asimismo, frente al estándar mínimo de 5000 estrellas, los repositorios superan con creces dicha cota (p &lt; 0.001, d = 0.90).</w:t>
      </w:r>
    </w:p>
    <w:p>
      <w:pPr>
        <w:spacing w:before="60" w:after="100" w:line="276" w:lineRule="auto"/>
      </w:pPr>
      <w:r>
        <w:rPr>
          <w:rFonts w:ascii="Times New Roman" w:hAnsi="Times New Roman"/>
          <w:b/>
          <w:color w:val="1B365D"/>
          <w:sz w:val="22"/>
        </w:rPr>
        <w:t>• 2. Respecto a la comparación de bifurcaciones entre grupos independientes (Q2):</w:t>
      </w:r>
      <w:r>
        <w:rPr>
          <w:rFonts w:ascii="Times New Roman" w:hAnsi="Times New Roman"/>
          <w:sz w:val="22"/>
        </w:rPr>
        <w:t xml:space="preserve">  Al comparar las bifurcaciones transformadas (ln_forks_1) según el tipo de propietario (Organizaciones corporativas vs. Usuarios individuales), la prueba t de Welch demostró que no existen diferencias estadísticamente significativas (t = 1.107, gl = 1425.17, p = 0.268, d = 0.057). Esto evidencia que la reutilización técnica de código abierto ocurre a tasas similares con independencia de la naturaleza organizativa del autor, aunque en términos absolutos de difusión masiva (stars y volumen bruto de incidencias), las organizaciones exhiben una ventaja moderada por su infraestructura.</w:t>
      </w:r>
    </w:p>
    <w:p>
      <w:pPr>
        <w:spacing w:before="60" w:after="100" w:line="276" w:lineRule="auto"/>
      </w:pPr>
      <w:r>
        <w:rPr>
          <w:rFonts w:ascii="Times New Roman" w:hAnsi="Times New Roman"/>
          <w:b/>
          <w:color w:val="1B365D"/>
          <w:sz w:val="22"/>
        </w:rPr>
        <w:t>• 3. Respecto a la relación intra-repositorio en muestras emparejadas (Q3):</w:t>
      </w:r>
      <w:r>
        <w:rPr>
          <w:rFonts w:ascii="Times New Roman" w:hAnsi="Times New Roman"/>
          <w:sz w:val="22"/>
        </w:rPr>
        <w:t xml:space="preserve">  La comparación de muestras relacionadas reveló una diferencia abrumadoramente significativa entre las estrellas (ln_stars_1) y las bifurcaciones (ln_forks_1) evaluadas sobre los mismos 1567 repositorios (t = 136.379, gl = 1566, p &lt; 0.001). Con un tamaño del efecto colosal (d de Cohen = 3.445) y una diferencia media de 2.0825 unidades logarítmicas, se formaliza la existencia de una relación aproximada de 8 estrellas por cada bifurcación, confirmando que el respaldo comunitario pasivo es exponencialmente más frecuente que la reutilización activa.</w:t>
      </w:r>
    </w:p>
    <w:p>
      <w:pPr>
        <w:spacing w:before="60" w:after="100" w:line="276" w:lineRule="auto"/>
      </w:pPr>
      <w:r>
        <w:rPr>
          <w:rFonts w:ascii="Times New Roman" w:hAnsi="Times New Roman"/>
          <w:b/>
          <w:color w:val="1B365D"/>
          <w:sz w:val="22"/>
        </w:rPr>
        <w:t>• 4. Respecto a la heterogeneidad de incidencias entre licencias de software en el ANOVA (Q4):</w:t>
      </w:r>
      <w:r>
        <w:rPr>
          <w:rFonts w:ascii="Times New Roman" w:hAnsi="Times New Roman"/>
          <w:sz w:val="22"/>
        </w:rPr>
        <w:t xml:space="preserve">  El Análisis de Varianza de un factor demostró la existencia de diferencias estadísticamente significativas en el volumen de incidencias abiertas transformadas (ln_open_issues_1) entre los diferentes modelos de licenciamiento (F = 17.418, gl = (2, 1060), p &lt; 0.001, η² = 0.032). Se rechaza con certeza matemática la hipótesis de igualdad de medias, comprobándose que el marco jurídico de derechos de autor influye de manera apreciable en la dinámica de mantenimiento del proyecto.</w:t>
      </w:r>
    </w:p>
    <w:p>
      <w:pPr>
        <w:spacing w:before="60" w:after="100" w:line="276" w:lineRule="auto"/>
      </w:pPr>
      <w:r>
        <w:rPr>
          <w:rFonts w:ascii="Times New Roman" w:hAnsi="Times New Roman"/>
          <w:b/>
          <w:color w:val="1B365D"/>
          <w:sz w:val="22"/>
        </w:rPr>
        <w:t>• 5. Respecto a la localización de las diferencias mediante pruebas Post Hoc (Q5):</w:t>
      </w:r>
      <w:r>
        <w:rPr>
          <w:rFonts w:ascii="Times New Roman" w:hAnsi="Times New Roman"/>
          <w:sz w:val="22"/>
        </w:rPr>
        <w:t xml:space="preserve">  Habiéndose constatado la homogeneidad de varianzas mediante la prueba de Levene (F = 1.109, p = 0.330), la prueba HSD de Tukey reveló que la discrepancia significativa se focaliza de forma exclusiva entre la Licencia Apache-2.0 y la Licencia MIT (diferencia de medias = 0.5508, p &lt; 0.001). El análisis de subconjuntos homogéneos diferenció a MIT en un clúster de baja carga de incidencias frente a Apache-2.0 y GPL-3.0, reflejando que los entornos de gobernanza corporativa acumulan una mayor deuda técnica que los proyectos permisivos minimalistas.</w:t>
      </w:r>
    </w:p>
    <w:p>
      <w:pPr>
        <w:spacing w:before="60" w:after="100" w:line="276" w:lineRule="auto"/>
      </w:pPr>
      <w:r>
        <w:rPr>
          <w:rFonts w:ascii="Times New Roman" w:hAnsi="Times New Roman"/>
          <w:b/>
          <w:color w:val="1B365D"/>
          <w:sz w:val="22"/>
        </w:rPr>
        <w:t>• 6. Respecto a la validez metodológica y el Teorema del Límite Central:</w:t>
      </w:r>
      <w:r>
        <w:rPr>
          <w:rFonts w:ascii="Times New Roman" w:hAnsi="Times New Roman"/>
          <w:sz w:val="22"/>
        </w:rPr>
        <w:t xml:space="preserve">  Si bien los contrastes de Shapiro–Wilk rechazaron la normalidad estricta en las variables originales (p &lt; 0.001), la investigación validó con rigor la pertinencia de las pruebas paramétricas sustentándose en el Teorema del Límite Central (n = 1567), la aplicación de transformaciones estabilizadoras ln(X + 1), y la selección de variantes robustas (t de Welch) ante heterocedasticidad, garantizando conclusiones científicas replicables y sólidas.</w:t>
      </w:r>
    </w:p>
    <w:p>
      <w:pPr>
        <w:keepNext/>
        <w:spacing w:before="320" w:after="120"/>
        <w:jc w:val="left"/>
      </w:pPr>
      <w:r>
        <w:rPr>
          <w:rFonts w:ascii="Times New Roman" w:hAnsi="Times New Roman"/>
          <w:b/>
          <w:color w:val="1B365D"/>
          <w:sz w:val="28"/>
        </w:rPr>
        <w:t>11. Referencias y fuentes de datos</w:t>
      </w:r>
    </w:p>
    <w:p>
      <w:pPr>
        <w:spacing w:before="40" w:after="80" w:line="276" w:lineRule="auto"/>
        <w:ind w:left="720" w:hanging="720"/>
      </w:pPr>
      <w:r>
        <w:rPr>
          <w:rFonts w:ascii="Times New Roman" w:hAnsi="Times New Roman"/>
          <w:sz w:val="22"/>
        </w:rPr>
        <w:t>Cohen, J. (1988). Statistical Power Analysis for the Behavioral Sciences (2nd ed.). Lawrence Erlbaum Associates.</w:t>
      </w:r>
    </w:p>
    <w:p>
      <w:pPr>
        <w:spacing w:before="40" w:after="80" w:line="276" w:lineRule="auto"/>
        <w:ind w:left="720" w:hanging="720"/>
      </w:pPr>
      <w:r>
        <w:rPr>
          <w:rFonts w:ascii="Times New Roman" w:hAnsi="Times New Roman"/>
          <w:sz w:val="22"/>
        </w:rPr>
        <w:t>Hedges, L. V. (1981). Distribution theory for Glass's estimator of effect size and related estimators. Journal of Educational Statistics, 6(2), 107–128. https://doi.org/10.3102/10769986006002107</w:t>
      </w:r>
    </w:p>
    <w:p>
      <w:pPr>
        <w:spacing w:before="40" w:after="80" w:line="276" w:lineRule="auto"/>
        <w:ind w:left="720" w:hanging="720"/>
      </w:pPr>
      <w:r>
        <w:rPr>
          <w:rFonts w:ascii="Times New Roman" w:hAnsi="Times New Roman"/>
          <w:sz w:val="22"/>
        </w:rPr>
        <w:t>IBM Corp. (2023). IBM SPSS Statistics for Windows, Version 29.0. Armonk, NY: IBM Corp.</w:t>
      </w:r>
    </w:p>
    <w:p>
      <w:pPr>
        <w:spacing w:before="40" w:after="80" w:line="276" w:lineRule="auto"/>
        <w:ind w:left="720" w:hanging="720"/>
      </w:pPr>
      <w:r>
        <w:rPr>
          <w:rFonts w:ascii="Times New Roman" w:hAnsi="Times New Roman"/>
          <w:sz w:val="22"/>
        </w:rPr>
        <w:t>Kaggle Datasets. (2024). GitHub Repositories – Heterogeneous Data. Extraído del repositorio público de datos de Kaggle: https://www.kaggle.com/datasets</w:t>
      </w:r>
    </w:p>
    <w:p>
      <w:pPr>
        <w:spacing w:before="40" w:after="80" w:line="276" w:lineRule="auto"/>
        <w:ind w:left="720" w:hanging="720"/>
      </w:pPr>
      <w:r>
        <w:rPr>
          <w:rFonts w:ascii="Times New Roman" w:hAnsi="Times New Roman"/>
          <w:sz w:val="22"/>
        </w:rPr>
        <w:t>Montgomery, D. C., &amp; Runger, G. C. (2018). Probabilidad y estadística aplicadas a la ingeniería (5.ª ed.). Limusa Wiley.</w:t>
      </w:r>
    </w:p>
    <w:p>
      <w:pPr>
        <w:spacing w:before="40" w:after="80" w:line="276" w:lineRule="auto"/>
        <w:ind w:left="720" w:hanging="720"/>
      </w:pPr>
      <w:r>
        <w:rPr>
          <w:rFonts w:ascii="Times New Roman" w:hAnsi="Times New Roman"/>
          <w:sz w:val="22"/>
        </w:rPr>
        <w:t>SciPy Community. (2024). Statistical functions (scipy.stats). Documentación oficial de SciPy. https://docs.scipy.org/doc/scipy/reference/stats.html</w:t>
      </w:r>
    </w:p>
    <w:p>
      <w:pPr>
        <w:spacing w:before="40" w:after="80" w:line="276" w:lineRule="auto"/>
        <w:ind w:left="720" w:hanging="720"/>
      </w:pPr>
      <w:r>
        <w:rPr>
          <w:rFonts w:ascii="Times New Roman" w:hAnsi="Times New Roman"/>
          <w:sz w:val="22"/>
        </w:rPr>
        <w:t>Statsmodels Developers. (2024). Statsmodels: Econometric and statistical modeling with Python. https://www.statsmodels.org/</w:t>
      </w:r>
    </w:p>
    <w:p>
      <w:pPr>
        <w:spacing w:before="40" w:after="80" w:line="276" w:lineRule="auto"/>
        <w:ind w:left="720" w:hanging="720"/>
      </w:pPr>
      <w:r>
        <w:rPr>
          <w:rFonts w:ascii="Times New Roman" w:hAnsi="Times New Roman"/>
          <w:sz w:val="22"/>
        </w:rPr>
        <w:t>Triola, M. F. (2018). Estadística (12.ª ed.). Pearson Educación.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