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 w:line="276" w:lineRule="auto"/>
        <w:jc w:val="center"/>
      </w:pPr>
      <w:r>
        <w:rPr>
          <w:rFonts w:ascii="Times New Roman" w:hAnsi="Times New Roman"/>
          <w:b/>
          <w:i w:val="0"/>
          <w:color w:val="1B365D"/>
          <w:sz w:val="30"/>
        </w:rPr>
        <w:t>UNIVERSIDAD PRIVADA DE TACNA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color w:val="1B365D"/>
          <w:sz w:val="26"/>
        </w:rPr>
        <w:t>FACULTAD DE INGENIERÍA</w:t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b/>
          <w:i w:val="0"/>
          <w:color w:val="1B365D"/>
          <w:sz w:val="24"/>
        </w:rPr>
        <w:t>ESCUELA DE INGENIERÍA DE SISTEMAS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76" w:lineRule="auto"/>
        <w:jc w:val="center"/>
      </w:pPr>
      <w:r>
        <w:rPr>
          <w:rFonts w:ascii="Times New Roman" w:hAnsi="Times New Roman"/>
          <w:b/>
          <w:i w:val="0"/>
          <w:color w:val="2C3E50"/>
          <w:sz w:val="24"/>
        </w:rPr>
        <w:t>Trabajo Práctico</w:t>
      </w:r>
    </w:p>
    <w:p>
      <w:pPr>
        <w:spacing w:before="0" w:after="320" w:line="276" w:lineRule="auto"/>
        <w:jc w:val="center"/>
      </w:pPr>
      <w:r>
        <w:rPr>
          <w:rFonts w:ascii="Times New Roman" w:hAnsi="Times New Roman"/>
          <w:b/>
          <w:i w:val="0"/>
          <w:color w:val="1B365D"/>
          <w:sz w:val="28"/>
        </w:rPr>
        <w:t>“APLICACIÓN DE ESTADÍSTICA INFERENCIAL CON DATOS REALES”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i/>
          <w:color w:val="222222"/>
          <w:sz w:val="21"/>
        </w:rPr>
        <w:t>Que se presenta para el curso: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/>
          <w:i w:val="0"/>
          <w:color w:val="2C3E50"/>
          <w:sz w:val="24"/>
        </w:rPr>
        <w:t>ESTADÍSTICA INFERENCIAL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color w:val="222222"/>
          <w:sz w:val="21"/>
        </w:rPr>
        <w:t>Docente:</w:t>
      </w:r>
    </w:p>
    <w:p>
      <w:pPr>
        <w:spacing w:before="0" w:after="320" w:line="276" w:lineRule="auto"/>
        <w:jc w:val="center"/>
      </w:pPr>
      <w:r>
        <w:rPr>
          <w:rFonts w:ascii="Times New Roman" w:hAnsi="Times New Roman"/>
          <w:b/>
          <w:i w:val="0"/>
          <w:color w:val="222222"/>
          <w:sz w:val="23"/>
        </w:rPr>
        <w:t>LUIS ALFREDO FERNANDEZ VIZCARRA</w:t>
      </w:r>
    </w:p>
    <w:p>
      <w:pPr>
        <w:spacing w:before="0" w:after="60" w:line="276" w:lineRule="auto"/>
        <w:jc w:val="center"/>
      </w:pPr>
      <w:r>
        <w:rPr>
          <w:rFonts w:ascii="Times New Roman" w:hAnsi="Times New Roman"/>
          <w:b/>
          <w:i w:val="0"/>
          <w:color w:val="222222"/>
          <w:sz w:val="21"/>
        </w:rPr>
        <w:t>Integrantes: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i w:val="0"/>
          <w:color w:val="222222"/>
          <w:sz w:val="22"/>
        </w:rPr>
        <w:t>Arocutipa Arocutipa, Gian Franco  (2023076790)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i w:val="0"/>
          <w:color w:val="222222"/>
          <w:sz w:val="22"/>
        </w:rPr>
        <w:t>Perez Peralta, Fabrizio Salvador Elias  (2023077476)</w:t>
      </w:r>
    </w:p>
    <w:p>
      <w:pPr>
        <w:spacing w:before="0" w:after="400" w:line="276" w:lineRule="auto"/>
        <w:jc w:val="center"/>
      </w:pPr>
      <w:r>
        <w:rPr>
          <w:rFonts w:ascii="Times New Roman" w:hAnsi="Times New Roman"/>
          <w:b w:val="0"/>
          <w:i w:val="0"/>
          <w:color w:val="222222"/>
          <w:sz w:val="22"/>
        </w:rPr>
        <w:t>LLica Mamani, Jimmy Mijair  (2023076789)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color w:val="222222"/>
          <w:sz w:val="22"/>
        </w:rPr>
        <w:t>TACNA – PERÚ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222222"/>
          <w:sz w:val="22"/>
        </w:rPr>
        <w:t>2026</w:t>
      </w:r>
    </w:p>
    <w:p>
      <w:r>
        <w:br w:type="page"/>
      </w:r>
    </w:p>
    <w:p>
      <w:pPr>
        <w:spacing w:before="120" w:after="200" w:line="276" w:lineRule="auto"/>
        <w:jc w:val="center"/>
      </w:pPr>
      <w:r>
        <w:rPr>
          <w:rFonts w:ascii="Times New Roman" w:hAnsi="Times New Roman"/>
          <w:b/>
          <w:i w:val="0"/>
          <w:color w:val="1B365D"/>
          <w:sz w:val="28"/>
        </w:rPr>
        <w:t>Índice General</w:t>
      </w:r>
    </w:p>
    <w:p>
      <w:pPr>
        <w:spacing w:before="20" w:after="40" w:line="276" w:lineRule="auto"/>
      </w:pPr>
      <w:r>
        <w:rPr>
          <w:rFonts w:ascii="Times New Roman" w:hAnsi="Times New Roman"/>
          <w:b/>
          <w:color w:val="1B365D"/>
          <w:sz w:val="20"/>
        </w:rPr>
        <w:t>1. Descripción del dataset</w:t>
      </w:r>
    </w:p>
    <w:p>
      <w:pPr>
        <w:spacing w:before="20" w:after="40" w:line="276" w:lineRule="auto"/>
      </w:pPr>
      <w:r>
        <w:rPr>
          <w:rFonts w:ascii="Times New Roman" w:hAnsi="Times New Roman"/>
          <w:color w:val="222222"/>
          <w:sz w:val="20"/>
        </w:rPr>
        <w:t>2. Planteamiento del análisis y preguntas de investigación</w:t>
      </w:r>
    </w:p>
    <w:p>
      <w:pPr>
        <w:spacing w:before="20" w:after="40" w:line="276" w:lineRule="auto"/>
      </w:pPr>
      <w:r>
        <w:rPr>
          <w:rFonts w:ascii="Times New Roman" w:hAnsi="Times New Roman"/>
          <w:color w:val="222222"/>
          <w:sz w:val="20"/>
        </w:rPr>
        <w:t>3. Análisis descriptivo y estimación puntual e intervalar</w:t>
      </w:r>
    </w:p>
    <w:p>
      <w:pPr>
        <w:spacing w:before="20" w:after="40" w:line="276" w:lineRule="auto"/>
      </w:pPr>
      <w:r>
        <w:rPr>
          <w:rFonts w:ascii="Times New Roman" w:hAnsi="Times New Roman"/>
          <w:color w:val="222222"/>
          <w:sz w:val="20"/>
        </w:rPr>
        <w:t>4. Verificación de supuestos: Normalidad y Homogeneidad de Varianzas</w:t>
      </w:r>
    </w:p>
    <w:p>
      <w:pPr>
        <w:spacing w:before="20" w:after="40" w:line="276" w:lineRule="auto"/>
      </w:pPr>
      <w:r>
        <w:rPr>
          <w:rFonts w:ascii="Times New Roman" w:hAnsi="Times New Roman"/>
          <w:b/>
          <w:color w:val="1B365D"/>
          <w:sz w:val="20"/>
        </w:rPr>
        <w:t>5. Procedimiento 1: Prueba de hipótesis para una muestra (stars)</w:t>
      </w:r>
    </w:p>
    <w:p>
      <w:pPr>
        <w:spacing w:before="20" w:after="40" w:line="276" w:lineRule="auto"/>
      </w:pPr>
      <w:r>
        <w:rPr>
          <w:rFonts w:ascii="Times New Roman" w:hAnsi="Times New Roman"/>
          <w:b/>
          <w:color w:val="1B365D"/>
          <w:sz w:val="20"/>
        </w:rPr>
        <w:t>6. Procedimiento 2: Comparación de promedios entre dos grupos independientes (ln_forks_1)</w:t>
      </w:r>
    </w:p>
    <w:p>
      <w:pPr>
        <w:spacing w:before="20" w:after="40" w:line="276" w:lineRule="auto"/>
      </w:pPr>
      <w:r>
        <w:rPr>
          <w:rFonts w:ascii="Times New Roman" w:hAnsi="Times New Roman"/>
          <w:b/>
          <w:color w:val="1B365D"/>
          <w:sz w:val="20"/>
        </w:rPr>
        <w:t>7. Procedimiento 3: Comparación de promedios en muestras relacionadas (ln_stars_1 vs. ln_forks_1)</w:t>
      </w:r>
    </w:p>
    <w:p>
      <w:pPr>
        <w:spacing w:before="20" w:after="40" w:line="276" w:lineRule="auto"/>
      </w:pPr>
      <w:r>
        <w:rPr>
          <w:rFonts w:ascii="Times New Roman" w:hAnsi="Times New Roman"/>
          <w:b/>
          <w:color w:val="1B365D"/>
          <w:sz w:val="20"/>
        </w:rPr>
        <w:t>8. Procedimiento 4: Análisis de Varianza (ANOVA) para tres grupos independientes (ln_open_issues_1)</w:t>
      </w:r>
    </w:p>
    <w:p>
      <w:pPr>
        <w:spacing w:before="20" w:after="40" w:line="276" w:lineRule="auto"/>
      </w:pPr>
      <w:r>
        <w:rPr>
          <w:rFonts w:ascii="Times New Roman" w:hAnsi="Times New Roman"/>
          <w:b/>
          <w:color w:val="1B365D"/>
          <w:sz w:val="20"/>
        </w:rPr>
        <w:t>9. Procedimiento 5: Pruebas Post Hoc de comparaciones múltiples (HSD Tukey)</w:t>
      </w:r>
    </w:p>
    <w:p>
      <w:pPr>
        <w:spacing w:before="20" w:after="40" w:line="276" w:lineRule="auto"/>
      </w:pPr>
      <w:r>
        <w:rPr>
          <w:rFonts w:ascii="Times New Roman" w:hAnsi="Times New Roman"/>
          <w:b/>
          <w:color w:val="1B365D"/>
          <w:sz w:val="20"/>
        </w:rPr>
        <w:t>10. Conclusiones generales</w:t>
      </w:r>
    </w:p>
    <w:p>
      <w:pPr>
        <w:spacing w:before="20" w:after="40" w:line="276" w:lineRule="auto"/>
      </w:pPr>
      <w:r>
        <w:rPr>
          <w:rFonts w:ascii="Times New Roman" w:hAnsi="Times New Roman"/>
          <w:b/>
          <w:color w:val="1B365D"/>
          <w:sz w:val="20"/>
        </w:rPr>
        <w:t>11. Referencias y fuentes de datos</w:t>
      </w:r>
    </w:p>
    <w:p>
      <w:r>
        <w:br w:type="page"/>
      </w: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color w:val="1B365D"/>
          <w:sz w:val="26"/>
        </w:rPr>
        <w:t>1. Descripción del dataset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El presente informe práctico aplica los conceptos y procedimientos de la inferencia estadística sobre el dataset real titulado “GitHub Repositories – Heterogeneous Data”, obtenido del repositorio público Kaggle Datasets (https://www.kaggle.com/datasets). El archivo fuente contiene 66 641 registros heterogéneos vinculados al desarrollo de software abierto. Para este estudio se filtró la entidad RepositoryItem correspondiente a repositorios cuyo lenguaje primario es Python, consolidando una muestra representativa de n = 1567 proyectos independientes.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Variables analizadas: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• stars (Cuantitativa discreta): Número de estrellas recibidas; principal indicador de popularidad e impacto comunitario.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• forks (Cuantitativa discreta): Número de copias derivadas; cuantifica la adopción técnica y reutilización del código.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• open_issues (Cuantitativa discreta): Cantidad de incidencias abiertas; mide la carga de mantenimiento y deuda técnica pendiente.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• ln_stars_1, ln_forks_1, ln_open_issues_1 (Cuantitativas transformadas): Transformaciones logarítmicas ln(X + 1) para estabilizar varianzas.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• owner_type / owner2 (Cualitativa nominal dicotómica): Tipo de propietario: Organization (n = 878) y User (n = 689).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• license_spdx_id / lic3 (Cualitativa nominal politómica): Licencia del software: MIT (lic3 = 1.00; n = 546), Apache-2.0 (lic3 = 2.00; n = 405) y GPL-3.0 (lic3 = 3.00; n = 112), sumando N = 1063 para el ANOVA.</w:t>
      </w: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color w:val="1B365D"/>
          <w:sz w:val="26"/>
        </w:rPr>
        <w:t>2. Planteamiento del análisis y preguntas de investigación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En Ingeniería de Sistemas, el éxito y sostenibilidad de una solución de código abierto dependen de factores organizacionales y jurídicos. Se busca evaluar si los indicadores de popularidad, reutilización y mantenimiento presentan diferencias significativas o si se ajustan a umbrales estándar. Para ello, se formulan las siguientes 5 preguntas de investigación guiadas por la narrativa del curso: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• Q1 (Una muestra): ¿El promedio poblacional de popularidad (stars) de los repositorios de Python difiere del estándar de 9000 estrellas?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• Q2 (Dos grupos independientes): ¿Existe diferencia significativa en las bifurcaciones transformadas (ln_forks_1) entre proyectos de Organizaciones y de Usuarios individuales?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• Q3 (Muestras relacionadas): ¿Existe diferencia estadísticamente significativa entre el promedio de estrellas (ln_stars_1) y bifurcaciones (ln_forks_1) evaluadas sobre los mismos repositorios?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• Q4 (ANOVA de un factor): ¿Existen diferencias significativas en las incidencias abiertas transformadas (ln_open_issues_1) según el tipo de licencia (MIT, Apache-2.0 y GPL-3.0)?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• Q5 (Pruebas Post Hoc): ¿Entre qué grupos específicos de licencias se localizan las diferencias significativas en la carga de mantenimiento?</w:t>
      </w: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color w:val="1B365D"/>
          <w:sz w:val="26"/>
        </w:rPr>
        <w:t>3. Análisis descriptivo y estimación puntual e intervalar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La Tabla 1 resume los estadísticos descriptivos fundamentales, asimetría, curtosis e intervalos de confianza al 95 % para la muestra completa (n = 1567). En todas las variables la media supera a la mediana, constatando asimetría positiva.</w:t>
      </w:r>
    </w:p>
    <w:p>
      <w:pPr>
        <w:spacing w:before="0" w:after="60" w:line="276" w:lineRule="auto"/>
        <w:jc w:val="center"/>
      </w:pPr>
      <w:r>
        <w:rPr>
          <w:rFonts w:ascii="Times New Roman" w:hAnsi="Times New Roman"/>
          <w:b/>
          <w:i w:val="0"/>
          <w:color w:val="1B365D"/>
          <w:sz w:val="20"/>
        </w:rPr>
        <w:t>Tabla 1. Estadísticos descriptivos generales e intervalos de confianza al 95 % (n = 1567).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/>
          <w:tblHeader/>
        </w:trPr>
        <w:tc>
          <w:tcPr>
            <w:tcW w:type="dxa" w:w="1040"/>
            <w:vAlign w:val="center"/>
            <w:shd w:fill="1B365D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040"/>
            <w:vAlign w:val="center"/>
            <w:shd w:fill="1B365D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Media (μ̂)</w:t>
            </w:r>
          </w:p>
        </w:tc>
        <w:tc>
          <w:tcPr>
            <w:tcW w:type="dxa" w:w="1040"/>
            <w:vAlign w:val="center"/>
            <w:shd w:fill="1B365D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Desv. Est. (s)</w:t>
            </w:r>
          </w:p>
        </w:tc>
        <w:tc>
          <w:tcPr>
            <w:tcW w:type="dxa" w:w="1040"/>
            <w:vAlign w:val="center"/>
            <w:shd w:fill="1B365D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Mediana</w:t>
            </w:r>
          </w:p>
        </w:tc>
        <w:tc>
          <w:tcPr>
            <w:tcW w:type="dxa" w:w="1040"/>
            <w:vAlign w:val="center"/>
            <w:shd w:fill="1B365D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Mínimo</w:t>
            </w:r>
          </w:p>
        </w:tc>
        <w:tc>
          <w:tcPr>
            <w:tcW w:type="dxa" w:w="1040"/>
            <w:vAlign w:val="center"/>
            <w:shd w:fill="1B365D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Máximo</w:t>
            </w:r>
          </w:p>
        </w:tc>
        <w:tc>
          <w:tcPr>
            <w:tcW w:type="dxa" w:w="1040"/>
            <w:vAlign w:val="center"/>
            <w:shd w:fill="1B365D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Asimetría</w:t>
            </w:r>
          </w:p>
        </w:tc>
        <w:tc>
          <w:tcPr>
            <w:tcW w:type="dxa" w:w="1040"/>
            <w:vAlign w:val="center"/>
            <w:shd w:fill="1B365D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Curtosis</w:t>
            </w:r>
          </w:p>
        </w:tc>
        <w:tc>
          <w:tcPr>
            <w:tcW w:type="dxa" w:w="1040"/>
            <w:vAlign w:val="center"/>
            <w:shd w:fill="1B365D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IC 95 % para la Media</w:t>
            </w:r>
          </w:p>
        </w:tc>
      </w:tr>
      <w:tr>
        <w:trPr>
          <w:cantSplit/>
        </w:trPr>
        <w:tc>
          <w:tcPr>
            <w:tcW w:type="dxa" w:w="104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18"/>
              </w:rPr>
              <w:t>Stars</w:t>
            </w:r>
          </w:p>
        </w:tc>
        <w:tc>
          <w:tcPr>
            <w:tcW w:type="dxa" w:w="104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8963.88</w:t>
            </w:r>
          </w:p>
        </w:tc>
        <w:tc>
          <w:tcPr>
            <w:tcW w:type="dxa" w:w="104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4411.51</w:t>
            </w:r>
          </w:p>
        </w:tc>
        <w:tc>
          <w:tcPr>
            <w:tcW w:type="dxa" w:w="104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8539.00</w:t>
            </w:r>
          </w:p>
        </w:tc>
        <w:tc>
          <w:tcPr>
            <w:tcW w:type="dxa" w:w="104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4001</w:t>
            </w:r>
          </w:p>
        </w:tc>
        <w:tc>
          <w:tcPr>
            <w:tcW w:type="dxa" w:w="104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19931</w:t>
            </w:r>
          </w:p>
        </w:tc>
        <w:tc>
          <w:tcPr>
            <w:tcW w:type="dxa" w:w="104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0.60</w:t>
            </w:r>
          </w:p>
        </w:tc>
        <w:tc>
          <w:tcPr>
            <w:tcW w:type="dxa" w:w="104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-0.66</w:t>
            </w:r>
          </w:p>
        </w:tc>
        <w:tc>
          <w:tcPr>
            <w:tcW w:type="dxa" w:w="104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[8745.29 ; 9182.48]</w:t>
            </w:r>
          </w:p>
        </w:tc>
      </w:tr>
      <w:tr>
        <w:trPr>
          <w:cantSplit/>
        </w:trPr>
        <w:tc>
          <w:tcPr>
            <w:tcW w:type="dxa" w:w="104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18"/>
              </w:rPr>
              <w:t>Forks</w:t>
            </w:r>
          </w:p>
        </w:tc>
        <w:tc>
          <w:tcPr>
            <w:tcW w:type="dxa" w:w="104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1318.58</w:t>
            </w:r>
          </w:p>
        </w:tc>
        <w:tc>
          <w:tcPr>
            <w:tcW w:type="dxa" w:w="104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1211.51</w:t>
            </w:r>
          </w:p>
        </w:tc>
        <w:tc>
          <w:tcPr>
            <w:tcW w:type="dxa" w:w="104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998.00</w:t>
            </w:r>
          </w:p>
        </w:tc>
        <w:tc>
          <w:tcPr>
            <w:tcW w:type="dxa" w:w="104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8</w:t>
            </w:r>
          </w:p>
        </w:tc>
        <w:tc>
          <w:tcPr>
            <w:tcW w:type="dxa" w:w="104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19556</w:t>
            </w:r>
          </w:p>
        </w:tc>
        <w:tc>
          <w:tcPr>
            <w:tcW w:type="dxa" w:w="104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4.74</w:t>
            </w:r>
          </w:p>
        </w:tc>
        <w:tc>
          <w:tcPr>
            <w:tcW w:type="dxa" w:w="104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48.69</w:t>
            </w:r>
          </w:p>
        </w:tc>
        <w:tc>
          <w:tcPr>
            <w:tcW w:type="dxa" w:w="104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[1258.55 ; 1378.61]</w:t>
            </w:r>
          </w:p>
        </w:tc>
      </w:tr>
      <w:tr>
        <w:trPr>
          <w:cantSplit/>
        </w:trPr>
        <w:tc>
          <w:tcPr>
            <w:tcW w:type="dxa" w:w="104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18"/>
              </w:rPr>
              <w:t>Open Issues</w:t>
            </w:r>
          </w:p>
        </w:tc>
        <w:tc>
          <w:tcPr>
            <w:tcW w:type="dxa" w:w="104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179.91</w:t>
            </w:r>
          </w:p>
        </w:tc>
        <w:tc>
          <w:tcPr>
            <w:tcW w:type="dxa" w:w="104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337.52</w:t>
            </w:r>
          </w:p>
        </w:tc>
        <w:tc>
          <w:tcPr>
            <w:tcW w:type="dxa" w:w="104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78.00</w:t>
            </w:r>
          </w:p>
        </w:tc>
        <w:tc>
          <w:tcPr>
            <w:tcW w:type="dxa" w:w="104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0</w:t>
            </w:r>
          </w:p>
        </w:tc>
        <w:tc>
          <w:tcPr>
            <w:tcW w:type="dxa" w:w="104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5959</w:t>
            </w:r>
          </w:p>
        </w:tc>
        <w:tc>
          <w:tcPr>
            <w:tcW w:type="dxa" w:w="104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6.71</w:t>
            </w:r>
          </w:p>
        </w:tc>
        <w:tc>
          <w:tcPr>
            <w:tcW w:type="dxa" w:w="104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76.95</w:t>
            </w:r>
          </w:p>
        </w:tc>
        <w:tc>
          <w:tcPr>
            <w:tcW w:type="dxa" w:w="104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[163.18 ; 196.63]</w:t>
            </w:r>
          </w:p>
        </w:tc>
      </w:tr>
      <w:tr>
        <w:trPr>
          <w:cantSplit/>
        </w:trPr>
        <w:tc>
          <w:tcPr>
            <w:tcW w:type="dxa" w:w="104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18"/>
              </w:rPr>
              <w:t>Size (KB)</w:t>
            </w:r>
          </w:p>
        </w:tc>
        <w:tc>
          <w:tcPr>
            <w:tcW w:type="dxa" w:w="104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136916.26</w:t>
            </w:r>
          </w:p>
        </w:tc>
        <w:tc>
          <w:tcPr>
            <w:tcW w:type="dxa" w:w="104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769547.30</w:t>
            </w:r>
          </w:p>
        </w:tc>
        <w:tc>
          <w:tcPr>
            <w:tcW w:type="dxa" w:w="104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16923.00</w:t>
            </w:r>
          </w:p>
        </w:tc>
        <w:tc>
          <w:tcPr>
            <w:tcW w:type="dxa" w:w="104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3</w:t>
            </w:r>
          </w:p>
        </w:tc>
        <w:tc>
          <w:tcPr>
            <w:tcW w:type="dxa" w:w="104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20737671</w:t>
            </w:r>
          </w:p>
        </w:tc>
        <w:tc>
          <w:tcPr>
            <w:tcW w:type="dxa" w:w="104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16.94</w:t>
            </w:r>
          </w:p>
        </w:tc>
        <w:tc>
          <w:tcPr>
            <w:tcW w:type="dxa" w:w="104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373.41</w:t>
            </w:r>
          </w:p>
        </w:tc>
        <w:tc>
          <w:tcPr>
            <w:tcW w:type="dxa" w:w="104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[98784.76 ; 175047.76]</w:t>
            </w:r>
          </w:p>
        </w:tc>
      </w:tr>
    </w:tbl>
    <w:p>
      <w:pPr>
        <w:spacing w:before="0" w:after="80"/>
      </w:pP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Estimación puntual y proporciones: El promedio estimado de stars es de 8963.88. Con 95 % de confianza, la media poblacional se ubica entre 8745.29 y 9182.48. Además, 573 repositorios (36.57 %) superan las 10 000 estrellas (IC 95 %: [34.18 % ; 38.95 %]) y 130 repositorios (8.30 %) superan las 500 incidencias abiertas (IC 95 %: [6.93 % ; 9.67 %]).</w:t>
      </w: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color w:val="1B365D"/>
          <w:sz w:val="26"/>
        </w:rPr>
        <w:t>4. Verificación de supuestos: Normalidad y Homogeneidad de Varianzas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Antes de aplicar las pruebas inferenciales se verificaron los supuestos de normalidad (Shapiro–Wilk) y homogeneidad de varianzas (Levene), conforme a las indicaciones del docente (α = 0.05). La Tabla 2 expone las pruebas de Shapiro–Wilk sobre la muestra completa y desglosadas por propietario.</w:t>
      </w:r>
    </w:p>
    <w:p>
      <w:pPr>
        <w:spacing w:before="0" w:after="60" w:line="276" w:lineRule="auto"/>
        <w:jc w:val="center"/>
      </w:pPr>
      <w:r>
        <w:rPr>
          <w:rFonts w:ascii="Times New Roman" w:hAnsi="Times New Roman"/>
          <w:b/>
          <w:i w:val="0"/>
          <w:color w:val="1B365D"/>
          <w:sz w:val="20"/>
        </w:rPr>
        <w:t>Tabla 2. Pruebas de normalidad de Shapiro–Wilk para variables originales y transformadas.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type="dxa" w:w="1560"/>
            <w:vAlign w:val="center"/>
            <w:shd w:fill="1B365D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560"/>
            <w:vAlign w:val="center"/>
            <w:shd w:fill="1B365D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Grupo / Muestra</w:t>
            </w:r>
          </w:p>
        </w:tc>
        <w:tc>
          <w:tcPr>
            <w:tcW w:type="dxa" w:w="1560"/>
            <w:vAlign w:val="center"/>
            <w:shd w:fill="1B365D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  <w:tc>
          <w:tcPr>
            <w:tcW w:type="dxa" w:w="1560"/>
            <w:vAlign w:val="center"/>
            <w:shd w:fill="1B365D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Estadístico W</w:t>
            </w:r>
          </w:p>
        </w:tc>
        <w:tc>
          <w:tcPr>
            <w:tcW w:type="dxa" w:w="1560"/>
            <w:vAlign w:val="center"/>
            <w:shd w:fill="1B365D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p-valor</w:t>
            </w:r>
          </w:p>
        </w:tc>
        <w:tc>
          <w:tcPr>
            <w:tcW w:type="dxa" w:w="1560"/>
            <w:vAlign w:val="center"/>
            <w:shd w:fill="1B365D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¿Sigue Dist. Normal? (α = 0.05)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18"/>
              </w:rPr>
              <w:t>Stars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Muestra Global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1567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0.8989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&lt; 0.001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No (p &lt; 0.05, Rechaza H₀)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18"/>
              </w:rPr>
              <w:t>Stars</w:t>
            </w:r>
          </w:p>
        </w:tc>
        <w:tc>
          <w:tcPr>
            <w:tcW w:type="dxa" w:w="156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Organization</w:t>
            </w:r>
          </w:p>
        </w:tc>
        <w:tc>
          <w:tcPr>
            <w:tcW w:type="dxa" w:w="156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878</w:t>
            </w:r>
          </w:p>
        </w:tc>
        <w:tc>
          <w:tcPr>
            <w:tcW w:type="dxa" w:w="156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0.9076</w:t>
            </w:r>
          </w:p>
        </w:tc>
        <w:tc>
          <w:tcPr>
            <w:tcW w:type="dxa" w:w="156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&lt; 0.001</w:t>
            </w:r>
          </w:p>
        </w:tc>
        <w:tc>
          <w:tcPr>
            <w:tcW w:type="dxa" w:w="156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No (p &lt; 0.05, Rechaza H₀)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18"/>
              </w:rPr>
              <w:t>Stars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User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689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0.8861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&lt; 0.001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No (p &lt; 0.05, Rechaza H₀)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18"/>
              </w:rPr>
              <w:t>Forks</w:t>
            </w:r>
          </w:p>
        </w:tc>
        <w:tc>
          <w:tcPr>
            <w:tcW w:type="dxa" w:w="156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Muestra Global</w:t>
            </w:r>
          </w:p>
        </w:tc>
        <w:tc>
          <w:tcPr>
            <w:tcW w:type="dxa" w:w="156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1567</w:t>
            </w:r>
          </w:p>
        </w:tc>
        <w:tc>
          <w:tcPr>
            <w:tcW w:type="dxa" w:w="156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0.6878</w:t>
            </w:r>
          </w:p>
        </w:tc>
        <w:tc>
          <w:tcPr>
            <w:tcW w:type="dxa" w:w="156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&lt; 0.001</w:t>
            </w:r>
          </w:p>
        </w:tc>
        <w:tc>
          <w:tcPr>
            <w:tcW w:type="dxa" w:w="156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No (p &lt; 0.05, Rechaza H₀)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18"/>
              </w:rPr>
              <w:t>Open Issues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Muestra Global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1567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0.4757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&lt; 0.001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No (p &lt; 0.05, Rechaza H₀)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18"/>
              </w:rPr>
              <w:t>ln_forks_1</w:t>
            </w:r>
          </w:p>
        </w:tc>
        <w:tc>
          <w:tcPr>
            <w:tcW w:type="dxa" w:w="156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Organization</w:t>
            </w:r>
          </w:p>
        </w:tc>
        <w:tc>
          <w:tcPr>
            <w:tcW w:type="dxa" w:w="156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878</w:t>
            </w:r>
          </w:p>
        </w:tc>
        <w:tc>
          <w:tcPr>
            <w:tcW w:type="dxa" w:w="156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0.9774</w:t>
            </w:r>
          </w:p>
        </w:tc>
        <w:tc>
          <w:tcPr>
            <w:tcW w:type="dxa" w:w="156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&lt; 0.001</w:t>
            </w:r>
          </w:p>
        </w:tc>
        <w:tc>
          <w:tcPr>
            <w:tcW w:type="dxa" w:w="156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No (TLC garantiza convergencia)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18"/>
              </w:rPr>
              <w:t>ln_forks_1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User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689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0.9972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0.2974</w:t>
            </w:r>
          </w:p>
        </w:tc>
        <w:tc>
          <w:tcPr>
            <w:tcW w:type="dxa" w:w="1560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Sí (p ≥ 0.05, Acepta H₀)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18"/>
              </w:rPr>
              <w:t>Diff (stars - forks)</w:t>
            </w:r>
          </w:p>
        </w:tc>
        <w:tc>
          <w:tcPr>
            <w:tcW w:type="dxa" w:w="156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Diferencias Emparejadas</w:t>
            </w:r>
          </w:p>
        </w:tc>
        <w:tc>
          <w:tcPr>
            <w:tcW w:type="dxa" w:w="156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1567</w:t>
            </w:r>
          </w:p>
        </w:tc>
        <w:tc>
          <w:tcPr>
            <w:tcW w:type="dxa" w:w="156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0.9662</w:t>
            </w:r>
          </w:p>
        </w:tc>
        <w:tc>
          <w:tcPr>
            <w:tcW w:type="dxa" w:w="156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&lt; 0.001</w:t>
            </w:r>
          </w:p>
        </w:tc>
        <w:tc>
          <w:tcPr>
            <w:tcW w:type="dxa" w:w="1560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No (TLC garantiza convergencia)</w:t>
            </w:r>
          </w:p>
        </w:tc>
      </w:tr>
    </w:tbl>
    <w:p>
      <w:pPr>
        <w:spacing w:before="0" w:after="80"/>
      </w:pP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Fundamentación metodológica: Aunque las variables brutas rechazan la normalidad estricta (p &lt; 0.001), el Teorema del Límite Central (TLC) establece formalmente que para tamaños de muestra grandes (n ≥ 30, y en este estudio n = 1567 con subgrupos de n ≥ 405), la distribución muestral de la media converge a una normal. Por tanto, el uso de las pruebas paramétricas t y ANOVA queda matemáticamente justificado.</w:t>
      </w:r>
    </w:p>
    <w:p>
      <w:pPr>
        <w:spacing w:before="0" w:after="60" w:line="276" w:lineRule="auto"/>
        <w:jc w:val="center"/>
      </w:pPr>
      <w:r>
        <w:rPr>
          <w:rFonts w:ascii="Times New Roman" w:hAnsi="Times New Roman"/>
          <w:b/>
          <w:i w:val="0"/>
          <w:color w:val="1B365D"/>
          <w:sz w:val="20"/>
        </w:rPr>
        <w:t>Tabla 3. Pruebas de homogeneidad de varianzas de Levene (Organization vs. User).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  <w:tblHeader/>
        </w:trPr>
        <w:tc>
          <w:tcPr>
            <w:tcW w:type="dxa" w:w="1337"/>
            <w:vAlign w:val="center"/>
            <w:shd w:fill="1B365D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337"/>
            <w:vAlign w:val="center"/>
            <w:shd w:fill="1B365D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Estadístico Levene (F)</w:t>
            </w:r>
          </w:p>
        </w:tc>
        <w:tc>
          <w:tcPr>
            <w:tcW w:type="dxa" w:w="1337"/>
            <w:vAlign w:val="center"/>
            <w:shd w:fill="1B365D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gl1</w:t>
            </w:r>
          </w:p>
        </w:tc>
        <w:tc>
          <w:tcPr>
            <w:tcW w:type="dxa" w:w="1337"/>
            <w:vAlign w:val="center"/>
            <w:shd w:fill="1B365D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gl2</w:t>
            </w:r>
          </w:p>
        </w:tc>
        <w:tc>
          <w:tcPr>
            <w:tcW w:type="dxa" w:w="1337"/>
            <w:vAlign w:val="center"/>
            <w:shd w:fill="1B365D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p-valor</w:t>
            </w:r>
          </w:p>
        </w:tc>
        <w:tc>
          <w:tcPr>
            <w:tcW w:type="dxa" w:w="1337"/>
            <w:vAlign w:val="center"/>
            <w:shd w:fill="1B365D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¿Varianzas Homogéneas?</w:t>
            </w:r>
          </w:p>
        </w:tc>
        <w:tc>
          <w:tcPr>
            <w:tcW w:type="dxa" w:w="1337"/>
            <w:vAlign w:val="center"/>
            <w:shd w:fill="1B365D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Prueba Seleccionada</w:t>
            </w:r>
          </w:p>
        </w:tc>
      </w:tr>
      <w:tr>
        <w:trPr>
          <w:cantSplit/>
        </w:trPr>
        <w:tc>
          <w:tcPr>
            <w:tcW w:type="dxa" w:w="1337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18"/>
              </w:rPr>
              <w:t>Stars</w:t>
            </w:r>
          </w:p>
        </w:tc>
        <w:tc>
          <w:tcPr>
            <w:tcW w:type="dxa" w:w="1337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3.885</w:t>
            </w:r>
          </w:p>
        </w:tc>
        <w:tc>
          <w:tcPr>
            <w:tcW w:type="dxa" w:w="1337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1</w:t>
            </w:r>
          </w:p>
        </w:tc>
        <w:tc>
          <w:tcPr>
            <w:tcW w:type="dxa" w:w="1337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1565</w:t>
            </w:r>
          </w:p>
        </w:tc>
        <w:tc>
          <w:tcPr>
            <w:tcW w:type="dxa" w:w="1337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0.0489</w:t>
            </w:r>
          </w:p>
        </w:tc>
        <w:tc>
          <w:tcPr>
            <w:tcW w:type="dxa" w:w="1337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No (Heterocedasticidad)</w:t>
            </w:r>
          </w:p>
        </w:tc>
        <w:tc>
          <w:tcPr>
            <w:tcW w:type="dxa" w:w="1337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t de Welch</w:t>
            </w:r>
          </w:p>
        </w:tc>
      </w:tr>
      <w:tr>
        <w:trPr>
          <w:cantSplit/>
        </w:trPr>
        <w:tc>
          <w:tcPr>
            <w:tcW w:type="dxa" w:w="1337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18"/>
              </w:rPr>
              <w:t>Forks</w:t>
            </w:r>
          </w:p>
        </w:tc>
        <w:tc>
          <w:tcPr>
            <w:tcW w:type="dxa" w:w="1337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3.068</w:t>
            </w:r>
          </w:p>
        </w:tc>
        <w:tc>
          <w:tcPr>
            <w:tcW w:type="dxa" w:w="1337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1</w:t>
            </w:r>
          </w:p>
        </w:tc>
        <w:tc>
          <w:tcPr>
            <w:tcW w:type="dxa" w:w="1337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1565</w:t>
            </w:r>
          </w:p>
        </w:tc>
        <w:tc>
          <w:tcPr>
            <w:tcW w:type="dxa" w:w="1337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0.0801</w:t>
            </w:r>
          </w:p>
        </w:tc>
        <w:tc>
          <w:tcPr>
            <w:tcW w:type="dxa" w:w="1337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Sí (Homocedasticidad)</w:t>
            </w:r>
          </w:p>
        </w:tc>
        <w:tc>
          <w:tcPr>
            <w:tcW w:type="dxa" w:w="1337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t de Student</w:t>
            </w:r>
          </w:p>
        </w:tc>
      </w:tr>
      <w:tr>
        <w:trPr>
          <w:cantSplit/>
        </w:trPr>
        <w:tc>
          <w:tcPr>
            <w:tcW w:type="dxa" w:w="1337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18"/>
              </w:rPr>
              <w:t>ln_forks_1 (SPSS)</w:t>
            </w:r>
          </w:p>
        </w:tc>
        <w:tc>
          <w:tcPr>
            <w:tcW w:type="dxa" w:w="1337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7.352</w:t>
            </w:r>
          </w:p>
        </w:tc>
        <w:tc>
          <w:tcPr>
            <w:tcW w:type="dxa" w:w="1337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1</w:t>
            </w:r>
          </w:p>
        </w:tc>
        <w:tc>
          <w:tcPr>
            <w:tcW w:type="dxa" w:w="1337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1565</w:t>
            </w:r>
          </w:p>
        </w:tc>
        <w:tc>
          <w:tcPr>
            <w:tcW w:type="dxa" w:w="1337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0.0070</w:t>
            </w:r>
          </w:p>
        </w:tc>
        <w:tc>
          <w:tcPr>
            <w:tcW w:type="dxa" w:w="1337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No (Heterocedasticidad)</w:t>
            </w:r>
          </w:p>
        </w:tc>
        <w:tc>
          <w:tcPr>
            <w:tcW w:type="dxa" w:w="1337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t de Welch</w:t>
            </w:r>
          </w:p>
        </w:tc>
      </w:tr>
      <w:tr>
        <w:trPr>
          <w:cantSplit/>
        </w:trPr>
        <w:tc>
          <w:tcPr>
            <w:tcW w:type="dxa" w:w="1337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18"/>
              </w:rPr>
              <w:t>Open Issues</w:t>
            </w:r>
          </w:p>
        </w:tc>
        <w:tc>
          <w:tcPr>
            <w:tcW w:type="dxa" w:w="1337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40.191</w:t>
            </w:r>
          </w:p>
        </w:tc>
        <w:tc>
          <w:tcPr>
            <w:tcW w:type="dxa" w:w="1337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1</w:t>
            </w:r>
          </w:p>
        </w:tc>
        <w:tc>
          <w:tcPr>
            <w:tcW w:type="dxa" w:w="1337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1565</w:t>
            </w:r>
          </w:p>
        </w:tc>
        <w:tc>
          <w:tcPr>
            <w:tcW w:type="dxa" w:w="1337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&lt; 0.001</w:t>
            </w:r>
          </w:p>
        </w:tc>
        <w:tc>
          <w:tcPr>
            <w:tcW w:type="dxa" w:w="1337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No (Heterocedasticidad)</w:t>
            </w:r>
          </w:p>
        </w:tc>
        <w:tc>
          <w:tcPr>
            <w:tcW w:type="dxa" w:w="1337"/>
            <w:vAlign w:val="center"/>
            <w:shd w:fill="F8F9F9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t de Welch</w:t>
            </w:r>
          </w:p>
        </w:tc>
      </w:tr>
      <w:tr>
        <w:trPr>
          <w:cantSplit/>
        </w:trPr>
        <w:tc>
          <w:tcPr>
            <w:tcW w:type="dxa" w:w="1337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color w:val="222222"/>
                <w:sz w:val="18"/>
              </w:rPr>
              <w:t>Size (KB)</w:t>
            </w:r>
          </w:p>
        </w:tc>
        <w:tc>
          <w:tcPr>
            <w:tcW w:type="dxa" w:w="1337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0.066</w:t>
            </w:r>
          </w:p>
        </w:tc>
        <w:tc>
          <w:tcPr>
            <w:tcW w:type="dxa" w:w="1337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1</w:t>
            </w:r>
          </w:p>
        </w:tc>
        <w:tc>
          <w:tcPr>
            <w:tcW w:type="dxa" w:w="1337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1565</w:t>
            </w:r>
          </w:p>
        </w:tc>
        <w:tc>
          <w:tcPr>
            <w:tcW w:type="dxa" w:w="1337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0.7968</w:t>
            </w:r>
          </w:p>
        </w:tc>
        <w:tc>
          <w:tcPr>
            <w:tcW w:type="dxa" w:w="1337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Sí (Homocedasticidad)</w:t>
            </w:r>
          </w:p>
        </w:tc>
        <w:tc>
          <w:tcPr>
            <w:tcW w:type="dxa" w:w="1337"/>
            <w:vAlign w:val="center"/>
            <w:shd w:fill="FFFFFF"/>
            <w:tcBorders>
              <w:top w:val="single" w:sz="4" w:space="0" w:color="BDC3C7"/>
              <w:left w:val="none"/>
              <w:bottom w:val="single" w:sz="4" w:space="0" w:color="BDC3C7"/>
              <w:right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color w:val="222222"/>
                <w:sz w:val="18"/>
              </w:rPr>
              <w:t>t de Student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color w:val="1B365D"/>
          <w:sz w:val="26"/>
        </w:rPr>
        <w:t>5. Procedimiento 1: Prueba de hipótesis para una muestra (stars)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Se desarrolla el procedimiento siguiendo rigurosamente la secuencia didáctica del ingeniero: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1. Formulación de hipótesis (Prueba bilateral, nivel de significancia α = 0.05):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H₀: μ = 9000  (El promedio poblacional de estrellas es igual al valor de referencia de 9000).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H₁: μ ≠ 9000  (El promedio poblacional de estrellas es diferente de 9000).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2. Estadísticos descriptivos de la muestra (n = 1567):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Media muestral: x̄ = 8963.88 estrellas.  • Desviación estándar: s = 4411.51 estrellas.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Error estándar de la media: SE = s / √n = 111.44 estrellas.  • Diferencia de medias: x̄ - μ₀ = -36.12.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3. Verificación del supuesto de normalidad: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Shapiro–Wilk: W = 0.899 (gl = 1567, p &lt; 0.001). Aunque p &lt; 0.05, el Teorema del Límite Central (n = 1567 &gt;&gt; 30) asegura la distribución normal de la media muestral.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4. Aplicación de la prueba t para una muestra: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Estadístico de prueba: t = (x̄ - μ₀) / SE = (8963.88 - 9000) / 111.44 = -0.324.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Grados de libertad: gl = n - 1 = 1566.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p-valor obtenido en SPSS: p = 0.746 (bilateral) / p = 0.373 (un factor).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Intervalo de confianza al 95 % de la diferencia: [-254.71 ; 182.48].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5. Toma de decisión estadística según la regla: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Regla de decisión: Si p-valor ≥ α (0.05) → No se rechaza H₀. Si p-valor &lt; α (0.05) → Se rechaza H₀.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Decisión: Como p-valor = 0.746 ≥ 0.05, NO SE RECHAZA LA HIPÓTESIS NULA (H₀).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6. Tamaño del efecto (d de Cohen y corrección de Hedges):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d de Cohen = (x̄ - μ₀) / s = -0.008 (IC 95 %: [-0.058 ; 0.041]).  • Hedges g = -0.008. Magnitud: Efecto nulo / trivial.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7. Conclusión e interpretación en el contexto de Ingeniería de Sistemas: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No existe evidencia estadística de que el promedio de estrellas de los repositorios de Python difiera del estándar de 9000.    Los proyectos analizados pertenecen a un estrato maduro cuya popularidad se alinea con precisión alrededor de 9000 estrellas.    (Complementariamente, frente al umbral histórico mínimo de 5000 estrellas, la prueba arroja t = 35.57, p &lt; 0.001, d = 0.90, rechazándose H₀ con efecto grande).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41547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154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b/>
          <w:i/>
          <w:color w:val="555555"/>
          <w:sz w:val="19"/>
        </w:rPr>
        <w:t>Figura 1. Estadísticos descriptivos y pruebas de normalidad de stars en SPSS.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522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22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b/>
          <w:i/>
          <w:color w:val="555555"/>
          <w:sz w:val="19"/>
        </w:rPr>
        <w:t>Figura 2. Histograma de frecuencias de stars con parámetros muestrales (x̄ = 8963.88, s = 4411.51).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2421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242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b/>
          <w:i/>
          <w:color w:val="555555"/>
          <w:sz w:val="19"/>
        </w:rPr>
        <w:t>Figura 3. Gráfico Q-Q normal de la variable stars.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3444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34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b/>
          <w:i/>
          <w:color w:val="555555"/>
          <w:sz w:val="19"/>
        </w:rPr>
        <w:t>Figura 4. Diagrama de caja (Boxplot) de stars mostrando cuartiles y mediana.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5344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534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b/>
          <w:i/>
          <w:color w:val="555555"/>
          <w:sz w:val="19"/>
        </w:rPr>
        <w:t>Figura 5. Resultados de la prueba t para una muestra (μ₀ = 9000) y tamaños de efecto en SPSS.</w:t>
      </w: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color w:val="1B365D"/>
          <w:sz w:val="26"/>
        </w:rPr>
        <w:t>6. Procedimiento 2: Comparación de promedios entre dos grupos independientes (ln_forks_1)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Se contrasta el nivel de bifurcaciones transformadas (ln_forks_1) según el tipo de propietario (Organization vs. User):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1. Formulación de hipótesis (Prueba bilateral, nivel de significancia α = 0.05):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H₀: μ_Org = μ_User  (El promedio de ln_forks_1 es igual entre organizaciones y usuarios individuales).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H₁: μ_Org ≠ μ_User  (El promedio de ln_forks_1 es diferente entre organizaciones y usuarios individuales).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2. Estadísticos descriptivos por grupo: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Grupo Organization (n₁ = 878): Media x̄₁ = 6.9141, Desv. Est. s₁ = 0.7477, Error Est. SE₁ = 0.0252.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Grupo User (n₂ = 689): Media x̄₂ = 6.8701, Desv. Est. s₂ = 0.8030, Error Est. SE₂ = 0.0306.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Diferencia de medias: x̄₁ - x̄₂ = 0.04391 unidades logarítmicas.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3. Verificación de supuestos: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Normalidad (Shapiro–Wilk): Organization W = 0.9774 (p &lt; 0.001); User W = 0.9972 (p = 0.2974, cumple normalidad al 5 %). El grupo corporativo se ampara en el TLC (n₁ = 878 &gt;&gt; 30).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Homogeneidad de varianzas (Prueba de Levene): Estadístico F = 7.352, p = 0.007. Dado que p &lt; 0.05, se RECHAZA la homocedasticidad (varianzas heterogéneas).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4. Selección y aplicación de la prueba inferencial: t de Welch: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Ante varianzas desiguales, se aplica la prueba t de Welch con grados de libertad ajustados de Satterthwaite.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Estadístico t = 1.107.  • Grados de libertad ajustados: gl = 1425.171.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p-valor obtenido en SPSS: p = 0.268 (bilateral) / p = 0.134 (un factor).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Error estándar de la diferencia: SE_dif = 0.03966.  • IC 95 % de la diferencia: [-0.03388 ; 0.12171].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5. Toma de decisión estadística según la regla: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Regla: p-valor ≥ α (0.05) → No se rechaza H₀. p-valor &lt; α (0.05) → Se rechaza H₀.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Decisión: Como p-valor = 0.268 ≥ 0.05, NO SE RECHAZA LA HIPÓTESIS NULA (H₀).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6. Tamaño del efecto para dos grupos independientes: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d de Cohen = 0.057 (IC 95 %: [-0.043 ; 0.157]).  • g de Hedges = 0.057.  • Delta de Glass = 0.055. Magnitud: Efecto trivial.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7. Conclusión e interpretación en el contexto del software: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No existe diferencia estadísticamente significativa en el nivel de bifurcaciones transformadas entre proyectos de organizaciones    y usuarios independientes. La capacidad técnica de un código para ser derivado y reutilizado es independiente del respaldo corporativo.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12140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214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b/>
          <w:i/>
          <w:color w:val="555555"/>
          <w:sz w:val="19"/>
        </w:rPr>
        <w:t>Figura 6. Prueba de Levene para igualdad de varianzas de ln_forks_1 (F = 7.352, p = 0.007).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13410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341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b/>
          <w:i/>
          <w:color w:val="555555"/>
          <w:sz w:val="19"/>
        </w:rPr>
        <w:t>Figura 7. Estadísticas de grupo y Prueba t para muestras independientes (t de Welch = 1.107, p = 0.268) en SPSS.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14362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436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b/>
          <w:i/>
          <w:color w:val="555555"/>
          <w:sz w:val="19"/>
        </w:rPr>
        <w:t>Figura 8. Tamaños de efecto para muestras independientes (d = 0.057, g = 0.057, Delta = 0.055).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7349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734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b/>
          <w:i/>
          <w:color w:val="555555"/>
          <w:sz w:val="19"/>
        </w:rPr>
        <w:t>Figura 9. Histograma de distribución de stars con curva normal para repositorios de Organizaciones (Reporte Estadístico).</w:t>
      </w: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color w:val="1B365D"/>
          <w:sz w:val="26"/>
        </w:rPr>
        <w:t>7. Procedimiento 3: Comparación de promedios en muestras relacionadas (ln_stars_1 vs. ln_forks_1)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Se contrasta la popularidad pasiva frente a la adopción técnica sobre las MISMAS unidades de análisis (los 1567 repositorios):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1. Justificación metodológica del emparejamiento: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Cada repositorio en GitHub registra simultáneamente dos métricas: ln_stars_1 y ln_forks_1. Al provenir del mismo artefacto de código,    comparten condiciones de calidad, dominio y autoría. El diseño emparejado elimina la variabilidad inter-repositorio y evalúa la discrepancia intra-proyecto.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2. Formulación de hipótesis (Prueba bilateral sobre la diferencia media μ_D, α = 0.05):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H₀: μ_D = 0  (El promedio de las diferencias entre estrellas y forks es igual a cero; μ_stars = μ_forks).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H₁: μ_D ≠ 0  (El promedio de las diferencias difiere de cero; existe discrepancia significativa entre estrellas y forks).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3. Estadísticos descriptivos de las muestras emparejadas (n = 1567):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ln_stars_1: Media = 8.977201, Desv. Est. = 0.503141, Error Est. = 0.012710.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ln_forks_1: Media = 6.894743, Desv. Est. = 0.772577, Error Est. = 0.019517.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Correlación de Pearson entre pares: r = 0.623 (p &lt; 0.001). Correlación positiva moderada-fuerte que respalda el emparejamiento.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Diferencia emparejada (D = ln_stars_1 - ln_forks_1): Media D̄ = 2.082458, Desv. Est. s_D = 0.604453, Error Est. SE_D = 0.015270.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Intervalo de confianza al 95 % de la diferencia: [2.052507 ; 2.112409].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4. Verificación de normalidad de las diferencias: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Shapiro–Wilk sobre D: W = 0.9662 (gl = 1567, p &lt; 0.001). El TLC garantiza la normalidad asintótica de la media de diferencias D̄.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5. Aplicación de la prueba t para muestras relacionadas: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Estadístico t = D̄ / SE_D = 2.082458 / 0.015270 = 136.379.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Grados de libertad: gl = n - 1 = 1566.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p-valor obtenido en SPSS: p &lt; 0.001 (bilateral y un factor).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6. Toma de decisión estadística según la regla: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Regla: Si p-valor &lt; α (0.05) → Se rechaza H₀. Decisión: Como p-valor &lt; 0.001 &lt; 0.05, SE RECHAZA ROTUNDAMENTE H₀ a favor de H₁.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7. Tamaño del efecto para muestras emparejadas: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d de Cohen = D̄ / s_D = 3.445 (IC 95 %: [3.315 ; 3.575]).  • g de Hedges = 3.444. Magnitud: Efecto extremadamente masivo (d &gt;&gt; 0.80).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8. Conclusión e interpretación en el contexto de Ingeniería de Sistemas: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Existe una disparidad masiva y concluyente a favor de las estrellas sobre los forks. Una diferencia logarítmica de 2.0825 equivale    a e^(2.0825) ≈ 8.02 veces más estrellas que bifurcaciones por repositorio. Esto formaliza cuantitativamente que el respaldo comunitario pasivo    (un clic) es 8 veces más frecuente que la clonación activa para desarrollo derivado.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15480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548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b/>
          <w:i/>
          <w:color w:val="555555"/>
          <w:sz w:val="19"/>
        </w:rPr>
        <w:t>Figura 10. Estadísticas de muestras emparejadas, correlación (r = 0.623) y Prueba t de muestras relacionadas (t = 136.379, p &lt; 0.001) en SPSS.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27413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274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b/>
          <w:i/>
          <w:color w:val="555555"/>
          <w:sz w:val="19"/>
        </w:rPr>
        <w:t>Figura 11. Ayuda curada y tamaños de efecto de muestras emparejadas (d de Cohen = 3.445, g = 3.444).</w:t>
      </w: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color w:val="1B365D"/>
          <w:sz w:val="26"/>
        </w:rPr>
        <w:t>8. Procedimiento 4: Análisis de Varianza (ANOVA) para tres grupos independientes (ln_open_issues_1)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Se contrasta la carga de incidencias abiertas transformadas según el marco de licenciamiento (MIT, Apache-2.0 y GPL-3.0):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1. Formulación de hipótesis (Nivel de significancia α = 0.05):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H₀: μ_MIT = μ_Apache = μ_GPL  (Los promedios de ln_open_issues_1 son iguales entre las tres licencias).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H₁: Al menos un promedio poblacional de ln_open_issues_1 es diferente.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2. Estadísticos descriptivos por grupo de licencia (N = 1063):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Licencia MIT (lic3 = 1.00; n₁ = 546): Media x̄₁ = 4.0227, Desv. Est. s₁ = 1.4769, Error Est. = 0.0632, IC 95%: [3.8985 ; 4.1469].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Licencia Apache-2.0 (lic3 = 2.00; n₂ = 405): Media x̄₂ = 4.5735, Desv. Est. s₂ = 1.3876, Error Est. = 0.0689, IC 95%: [4.4379 ; 4.7090].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Licencia GPL-3.0 (lic3 = 3.00; n₃ = 112): Media x̄₃ = 4.3647, Desv. Est. s₃ = 1.3920, Error Est. = 0.1315, IC 95%: [4.1041 ; 4.6254].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Total analizado (N = 1063): Media = 4.2686, Desv. Est. = 1.4567, Error Est. = 0.0447, IC 95%: [4.1809 ; 4.3563].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3. Verificación de supuestos: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Normalidad (Shapiro–Wilk): MIT W = 0.9817 (p &lt; 0.001); Apache-2.0 W = 0.9760 (p &lt; 0.001); GPL-3.0 W = 0.9801 (p = 0.0930, cumple normalidad al 5 %). Celdas grandes (n ≥ 112) garantizan robustez del ANOVA.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Homogeneidad de varianzas (Prueba de Levene): Estadístico F = 1.109, gl1 = 2, gl2 = 1060, p = 0.330. Como p = 0.330 ≥ 0.05, NO SE RECHAZA la homocedasticidad. Las varianzas poblacionales son homogéneas.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4. Aplicación del ANOVA de un factor y prueba de Welch: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Suma de cuadrados Entre Grupos: SS_entre = 71.698, gl = 2, Media cuadrática MS_entre = 35.849.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Suma de cuadrados Dentro de Grupos: SS_dentro = 2181.693, gl = 1060, Media cuadrática MS_dentro = 2.058.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Suma de cuadrados Total: SS_total = 2253.391, gl = 1062.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Estadístico F calculado: F = MS_entre / MS_dentro = 35.849 / 2.058 = 17.418.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p-valor obtenido en SPSS: p &lt; 0.001.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Prueba robusta de Welch: F_Welch = 17.511 (gl1 = 2, gl2 = 314.565, p &lt; 0.001), corroborando idéntico resultado.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5. Toma de decisión estadística según la regla: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Regla: p-valor &lt; α (0.05) → Se rechaza H₀. Decisión: Como p-valor &lt; 0.001 &lt; 0.05, SE RECHAZA H₀ y se acepta H₁.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6. Tamaño del efecto para el ANOVA: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Eta cuadrado (η²) = SS_entre / SS_total = 71.698 / 2253.391 = 0.032 (IC 95 %: [0.014 ; 0.054]).  • Omega cuadrado (ω²) = 0.030. Magnitud: Pequeña a moderada (la licencia explica el 3.2 % de la varianza en issues).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7. Conclusión e interpretación en el contexto de software: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Existen diferencias estadísticamente significativas en el promedio de incidencias abiertas transformadas entre los tipos de licencia.    Sin embargo, el ANOVA global no identifica entre qué grupos se presentan las diferencias; por ende, es obligatorio continuar con las pruebas Post Hoc.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191370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913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b/>
          <w:i/>
          <w:color w:val="555555"/>
          <w:sz w:val="19"/>
        </w:rPr>
        <w:t>Figura 12. Descriptivos por tipo de licencia y Prueba de Homogeneidad de Varianzas de Levene (F = 1.109, p = 0.330) en SPSS.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6566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65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b/>
          <w:i/>
          <w:color w:val="555555"/>
          <w:sz w:val="19"/>
        </w:rPr>
        <w:t>Figura 13. Tabla ANOVA de un factor (F = 17.418, p &lt; 0.001), tamaños de efecto y prueba de Welch en SPSS.</w:t>
      </w: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color w:val="1B365D"/>
          <w:sz w:val="26"/>
        </w:rPr>
        <w:t>9. Procedimiento 5: Pruebas Post Hoc de comparaciones múltiples (HSD Tukey)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Siguiendo la directriz del docente: Al cumplirse la homogeneidad de varianzas en Levene (p = 0.330 ≥ 0.05), se utiliza la prueba HSD de Tukey: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1. Criterio de selección justificado: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Varianzas homogéneas (Levene p ≥ 0.05) → HSD de Tukey. (Si hubiesen sido heterogéneas, se habría empleado Games–Howell).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2. Comparaciones múltiples por pares (HSD Tukey, α = 0.05):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Par 1: MIT vs. Apache-2.0: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  Diferencia de medias (x̄_MIT - x̄_Apache) = -0.550792, Error Est. = 0.094083, p &lt; 0.001, IC 95%: [-0.771605 ; -0.329979].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  Decisión: DIFERENCIA ALTAMENTE SIGNIFICATIVA (p &lt; 0.05, marcado con * en SPSS). Los proyectos Apache-2.0 tienen significativamente más issues abiertos.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Par 2: MIT vs. GPL-3.0: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  Diferencia de medias (x̄_MIT - x̄_GPL) = -0.342007, Error Est. = 0.148817, p = 0.056, IC 95%: [-0.691280 ; 0.007266].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  Decisión: NO SIGNIFICATIVA al nivel 0.05 (p = 0.056 ≥ 0.05, tendencia marginal).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Par 3: Apache-2.0 vs. GPL-3.0: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  Diferencia de medias (x̄_Apache - x̄_GPL) = 0.208785, Error Est. = 0.153163, p = 0.361, IC 95%: [-0.150688 ; 0.568258].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  Decisión: NO SIGNIFICATIVA (p = 0.361 ≥ 0.05). No hay diferencia entre Apache-2.0 y GPL-3.0.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3. Análisis de subconjuntos homogéneos (HSD Tukey, media armónica n_h = 226.771):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Subconjunto 1 (Baja carga de issues): Licencia MIT (media = 4.022699; Sig. = 1.000).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• Subconjunto 2 (Alta carga de issues): Licencia GPL-3.0 (media = 4.364706) y Licencia Apache-2.0 (media = 4.573491; Sig. = 0.268).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/>
          <w:i w:val="0"/>
          <w:color w:val="222222"/>
          <w:sz w:val="22"/>
        </w:rPr>
        <w:t>4. Conclusión e interpretación contextual en Ingeniería de Software: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   La disparidad detectada por el ANOVA se concentra de manera exclusiva entre Apache-2.0 y MIT.    Los proyectos Apache-2.0 corresponden comúnmente a infraestructuras de gobernanza corporativa compleja y auditorías de código empresarial    que generan prolongados ciclos de tickets abiertos. En contraste, MIT fomenta soluciones minimalistas y ligeras con rápida resolución de incidencias.    GPL-3.0 se agrupa con Apache-2.0 debido a los debates comunitarios extensos sobre compatibilidad de licencias.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442218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422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b/>
          <w:i/>
          <w:color w:val="555555"/>
          <w:sz w:val="19"/>
        </w:rPr>
        <w:t>Figura 14. Tabla de Comparaciones Múltiples Post Hoc HSD de Tukey para ln_open_issues_1 en SPSS.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83015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30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rFonts w:ascii="Times New Roman" w:hAnsi="Times New Roman"/>
          <w:b/>
          <w:i/>
          <w:color w:val="555555"/>
          <w:sz w:val="19"/>
        </w:rPr>
        <w:t>Figura 15. Subconjuntos homogéneos de Tukey agrupando a MIT en el Subconjunto 1 y a GPL-3.0 y Apache-2.0 en el Subconjunto 2.</w:t>
      </w: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color w:val="1B365D"/>
          <w:sz w:val="26"/>
        </w:rPr>
        <w:t>10. Conclusiones generales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A partir de la evidencia estadística inferencial obtenida sobre los 1567 repositorios de software libre en Python: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1. Popularidad de una muestra (Q1): El promedio de estrellas de los repositorios de Python no difiere estadísticamente de 9000 (t = -0.324, p = 0.746, d = -0.008), respaldando que la muestra analizada se consolida alrededor de este umbral de impacto. Frente a 5000 estrellas, los proyectos superan holgadamente dicha cota (p &lt; 0.001, d = 0.90).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2. Comparación entre grupos independientes (Q2): No existen diferencias estadísticamente significativas en el nivel de bifurcaciones transformadas entre Organizaciones y Usuarios individuales (t = 1.107, p = 0.268, d = 0.057). La reutilización de código se fundamenta en el valor intrínseco de la solución y no en la naturaleza organizativa del autor.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3. Muestras relacionadas intra-repositorio (Q3): Se constató una diferencia masiva a favor de las estrellas sobre las bifurcaciones dentro de los mismos proyectos (t = 136.379, p &lt; 0.001, d = 3.445). En la dinámica de código abierto, existe una relación promedio de 8 estrellas por cada bifurcación, confirmando la asimetría entre apoyo pasivo y contribución técnica activa.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4. ANOVA de un factor (Q4): El modelo de licenciamiento influye significativamente en la acumulación de incidencias abiertas transformadas (F = 17.418, p &lt; 0.001, η² = 0.032). Se rechaza formalmente la igualdad de medias poblacionales entre licencias.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5. Pruebas Post Hoc de Tukey (Q5): Habiéndose verificado varianzas homogéneas en Levene (p = 0.330), la prueba HSD de Tukey demostró que la diferencia significativa radica exclusivamente entre Apache-2.0 y MIT (p &lt; 0.001). Apache-2.0 y GPL-3.0 conforman un clúster de mayor complejidad de mantenimiento frente a la agilidad de MIT.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color w:val="222222"/>
          <w:sz w:val="22"/>
        </w:rPr>
        <w:t>6. Robustez metodológica: A pesar del rechazo de la normalidad estricta en Shapiro–Wilk (p &lt; 0.001), los contrastes paramétricos mantuvieron plena validez sustentados en el Teorema del Límite Central (n = 1567 &gt;&gt; 30), transformaciones logarítmicas estabilizadoras y correcciones de varianzas heterogéneas.</w:t>
      </w:r>
    </w:p>
    <w:p>
      <w:pPr>
        <w:keepNext/>
        <w:spacing w:before="200" w:after="60"/>
        <w:jc w:val="left"/>
      </w:pPr>
      <w:r>
        <w:rPr>
          <w:rFonts w:ascii="Times New Roman" w:hAnsi="Times New Roman"/>
          <w:b/>
          <w:color w:val="1B365D"/>
          <w:sz w:val="26"/>
        </w:rPr>
        <w:t>11. Referencias y fuentes de datos</w:t>
      </w:r>
    </w:p>
    <w:p>
      <w:pPr>
        <w:spacing w:before="20" w:after="60" w:line="276" w:lineRule="auto"/>
        <w:ind w:left="576" w:hanging="576"/>
      </w:pPr>
      <w:r>
        <w:rPr>
          <w:rFonts w:ascii="Times New Roman" w:hAnsi="Times New Roman"/>
          <w:sz w:val="20"/>
        </w:rPr>
        <w:t>Cohen, J. (1988). Statistical Power Analysis for the Behavioral Sciences (2nd ed.). Lawrence Erlbaum Associates.</w:t>
      </w:r>
    </w:p>
    <w:p>
      <w:pPr>
        <w:spacing w:before="20" w:after="60" w:line="276" w:lineRule="auto"/>
        <w:ind w:left="576" w:hanging="576"/>
      </w:pPr>
      <w:r>
        <w:rPr>
          <w:rFonts w:ascii="Times New Roman" w:hAnsi="Times New Roman"/>
          <w:sz w:val="20"/>
        </w:rPr>
        <w:t>Hedges, L. V. (1981). Distribution theory for Glass's estimator of effect size and related estimators. Journal of Educational Statistics, 6(2), 107–128.</w:t>
      </w:r>
    </w:p>
    <w:p>
      <w:pPr>
        <w:spacing w:before="20" w:after="60" w:line="276" w:lineRule="auto"/>
        <w:ind w:left="576" w:hanging="576"/>
      </w:pPr>
      <w:r>
        <w:rPr>
          <w:rFonts w:ascii="Times New Roman" w:hAnsi="Times New Roman"/>
          <w:sz w:val="20"/>
        </w:rPr>
        <w:t>IBM Corp. (2023). IBM SPSS Statistics for Windows, Version 29.0. Armonk, NY: IBM Corp.</w:t>
      </w:r>
    </w:p>
    <w:p>
      <w:pPr>
        <w:spacing w:before="20" w:after="60" w:line="276" w:lineRule="auto"/>
        <w:ind w:left="576" w:hanging="576"/>
      </w:pPr>
      <w:r>
        <w:rPr>
          <w:rFonts w:ascii="Times New Roman" w:hAnsi="Times New Roman"/>
          <w:sz w:val="20"/>
        </w:rPr>
        <w:t>Kaggle Datasets. (2024). GitHub Repositories – Heterogeneous Data. Extraído de: https://www.kaggle.com/datasets</w:t>
      </w:r>
    </w:p>
    <w:p>
      <w:pPr>
        <w:spacing w:before="20" w:after="60" w:line="276" w:lineRule="auto"/>
        <w:ind w:left="576" w:hanging="576"/>
      </w:pPr>
      <w:r>
        <w:rPr>
          <w:rFonts w:ascii="Times New Roman" w:hAnsi="Times New Roman"/>
          <w:sz w:val="20"/>
        </w:rPr>
        <w:t>Montgomery, D. C., &amp; Runger, G. C. (2018). Probabilidad y estadística aplicadas a la ingeniería (5.ª ed.). Limusa Wiley.</w:t>
      </w:r>
    </w:p>
    <w:p>
      <w:pPr>
        <w:spacing w:before="20" w:after="60" w:line="276" w:lineRule="auto"/>
        <w:ind w:left="576" w:hanging="576"/>
      </w:pPr>
      <w:r>
        <w:rPr>
          <w:rFonts w:ascii="Times New Roman" w:hAnsi="Times New Roman"/>
          <w:sz w:val="20"/>
        </w:rPr>
        <w:t>SciPy Community. (2024). Statistical functions (scipy.stats). https://docs.scipy.org/doc/scipy/reference/stats.html</w:t>
      </w:r>
    </w:p>
    <w:p>
      <w:pPr>
        <w:spacing w:before="20" w:after="60" w:line="276" w:lineRule="auto"/>
        <w:ind w:left="576" w:hanging="576"/>
      </w:pPr>
      <w:r>
        <w:rPr>
          <w:rFonts w:ascii="Times New Roman" w:hAnsi="Times New Roman"/>
          <w:sz w:val="20"/>
        </w:rPr>
        <w:t>Triola, M. F. (2018). Estadística (12.ª ed.). Pearson Educación.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  <w:jc w:val="both"/>
    </w:pPr>
    <w:rPr>
      <w:rFonts w:ascii="Times New Roman" w:hAnsi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