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11798" w14:textId="77777777" w:rsidR="00D94FC8" w:rsidRPr="00896BD7" w:rsidRDefault="00C33799" w:rsidP="00896BD7">
      <w:pPr>
        <w:spacing w:after="0"/>
        <w:jc w:val="center"/>
        <w:rPr>
          <w:rFonts w:ascii="Arial" w:eastAsia="Arial" w:hAnsi="Arial" w:cs="Arial"/>
          <w:b/>
          <w:bCs/>
          <w:color w:val="auto"/>
          <w:sz w:val="36"/>
          <w:szCs w:val="36"/>
          <w:lang w:val="es-419" w:eastAsia="es-PE"/>
        </w:rPr>
      </w:pPr>
      <w:r>
        <w:rPr>
          <w:rFonts w:ascii="Arial" w:eastAsia="Arial" w:hAnsi="Arial" w:cs="Arial"/>
          <w:b/>
          <w:bCs/>
          <w:color w:val="auto"/>
          <w:sz w:val="36"/>
          <w:szCs w:val="36"/>
          <w:lang w:val="es-419" w:eastAsia="es-PE"/>
        </w:rPr>
        <w:t>UNIVERSIDAD PRIVADA DE TACNA</w:t>
      </w:r>
    </w:p>
    <w:p w14:paraId="55E30DE4" w14:textId="77777777" w:rsidR="00D94FC8" w:rsidRDefault="00C33799" w:rsidP="00896BD7">
      <w:pPr>
        <w:spacing w:after="0"/>
        <w:jc w:val="center"/>
      </w:pPr>
      <w:r>
        <w:rPr>
          <w:rFonts w:ascii="Arial" w:eastAsia="Arial" w:hAnsi="Arial" w:cs="Arial"/>
          <w:b/>
          <w:bCs/>
          <w:color w:val="auto"/>
          <w:sz w:val="36"/>
          <w:szCs w:val="36"/>
          <w:lang w:val="es-419" w:eastAsia="es-PE"/>
        </w:rPr>
        <w:t>FACULTAD DE INGENIERÍA</w:t>
      </w:r>
    </w:p>
    <w:p w14:paraId="0298BE58" w14:textId="77777777" w:rsidR="00D94FC8" w:rsidRPr="00896BD7" w:rsidRDefault="00C33799">
      <w:pPr>
        <w:spacing w:after="240"/>
        <w:jc w:val="center"/>
        <w:rPr>
          <w:rFonts w:ascii="Calibri" w:eastAsia="Calibri" w:hAnsi="Calibri" w:cs="Calibri"/>
          <w:b/>
          <w:bCs/>
          <w:color w:val="auto"/>
          <w:sz w:val="28"/>
          <w:szCs w:val="28"/>
          <w:lang w:val="es-419" w:eastAsia="es-PE"/>
        </w:rPr>
      </w:pPr>
      <w:r>
        <w:rPr>
          <w:rFonts w:ascii="Calibri" w:eastAsia="Calibri" w:hAnsi="Calibri" w:cs="Calibri"/>
          <w:b/>
          <w:bCs/>
          <w:color w:val="auto"/>
          <w:sz w:val="28"/>
          <w:szCs w:val="28"/>
          <w:lang w:val="es-419" w:eastAsia="es-PE"/>
        </w:rPr>
        <w:t>ESCUELA DE INGENIERÍA DE SISTEMAS</w:t>
      </w:r>
    </w:p>
    <w:p w14:paraId="38CAF9A1" w14:textId="77777777" w:rsidR="00D94FC8" w:rsidRDefault="00C33799">
      <w:pPr>
        <w:spacing w:after="240"/>
        <w:jc w:val="center"/>
      </w:pPr>
      <w:r>
        <w:rPr>
          <w:noProof/>
        </w:rPr>
        <w:drawing>
          <wp:inline distT="0" distB="0" distL="0" distR="0" wp14:anchorId="0AF07FC6" wp14:editId="47628D32">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8"/>
                    <a:stretch>
                      <a:fillRect/>
                    </a:stretch>
                  </pic:blipFill>
                  <pic:spPr>
                    <a:xfrm>
                      <a:off x="0" y="0"/>
                      <a:ext cx="2011680" cy="2011680"/>
                    </a:xfrm>
                    <a:prstGeom prst="rect">
                      <a:avLst/>
                    </a:prstGeom>
                  </pic:spPr>
                </pic:pic>
              </a:graphicData>
            </a:graphic>
          </wp:inline>
        </w:drawing>
      </w:r>
    </w:p>
    <w:p w14:paraId="5DD77027" w14:textId="77777777" w:rsidR="00D94FC8" w:rsidRPr="00896BD7" w:rsidRDefault="00C33799">
      <w:pPr>
        <w:jc w:val="center"/>
        <w:rPr>
          <w:rFonts w:ascii="Arial" w:eastAsia="Arial" w:hAnsi="Arial" w:cs="Arial"/>
          <w:b/>
          <w:bCs/>
          <w:color w:val="auto"/>
          <w:sz w:val="60"/>
          <w:szCs w:val="60"/>
          <w:lang w:val="es-419" w:eastAsia="es-PE"/>
        </w:rPr>
      </w:pPr>
      <w:r>
        <w:rPr>
          <w:rFonts w:ascii="Arial" w:eastAsia="Arial" w:hAnsi="Arial" w:cs="Arial"/>
          <w:b/>
          <w:bCs/>
          <w:color w:val="auto"/>
          <w:sz w:val="60"/>
          <w:szCs w:val="60"/>
          <w:lang w:val="es-419" w:eastAsia="es-PE"/>
        </w:rPr>
        <w:t>Trabajo Práctico</w:t>
      </w:r>
    </w:p>
    <w:p w14:paraId="2CF670C5" w14:textId="77777777" w:rsidR="00D94FC8" w:rsidRPr="00896BD7" w:rsidRDefault="00C33799">
      <w:pPr>
        <w:spacing w:after="320"/>
        <w:jc w:val="center"/>
        <w:rPr>
          <w:rFonts w:ascii="Arial" w:eastAsia="Arial" w:hAnsi="Arial" w:cs="Arial"/>
          <w:b/>
          <w:bCs/>
          <w:color w:val="auto"/>
          <w:sz w:val="40"/>
          <w:szCs w:val="40"/>
          <w:lang w:val="es-419" w:eastAsia="es-PE"/>
        </w:rPr>
      </w:pPr>
      <w:r>
        <w:rPr>
          <w:rFonts w:ascii="Arial" w:eastAsia="Arial" w:hAnsi="Arial" w:cs="Arial"/>
          <w:b/>
          <w:bCs/>
          <w:color w:val="auto"/>
          <w:sz w:val="40"/>
          <w:szCs w:val="40"/>
          <w:lang w:val="es-419" w:eastAsia="es-PE"/>
        </w:rPr>
        <w:t>“APLICACIÓN DE ESTADÍSTICA INFERENCIAL CON DATOS REALES”</w:t>
      </w:r>
    </w:p>
    <w:p w14:paraId="0550FEED" w14:textId="77777777" w:rsidR="00D94FC8" w:rsidRPr="00896BD7" w:rsidRDefault="00C33799">
      <w:pPr>
        <w:spacing w:after="4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Que se presenta para el curso:</w:t>
      </w:r>
    </w:p>
    <w:p>
      <w:pPr>
        <w:spacing w:after="28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 xml:space="preserve">ESTADÍSTICA INFERENCIAL</w:t>
      </w:r>
    </w:p>
    <w:p w14:paraId="1CEE6D96" w14:textId="77777777" w:rsidR="00D94FC8" w:rsidRPr="00896BD7" w:rsidRDefault="00C33799">
      <w:pPr>
        <w:spacing w:after="4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Docente:</w:t>
      </w:r>
    </w:p>
    <w:p w14:paraId="01EEDC07" w14:textId="77777777" w:rsidR="00D94FC8" w:rsidRPr="00896BD7" w:rsidRDefault="00C33799">
      <w:pPr>
        <w:spacing w:after="320"/>
        <w:jc w:val="center"/>
        <w:rPr>
          <w:rFonts w:ascii="Arial" w:eastAsia="Arial" w:hAnsi="Arial" w:cs="Arial"/>
          <w:b/>
          <w:bCs/>
          <w:color w:val="auto"/>
          <w:sz w:val="24"/>
          <w:szCs w:val="24"/>
          <w:lang w:val="es-419" w:eastAsia="es-PE"/>
        </w:rPr>
      </w:pPr>
      <w:r>
        <w:rPr>
          <w:rFonts w:ascii="Arial" w:eastAsia="Arial" w:hAnsi="Arial" w:cs="Arial"/>
          <w:b/>
          <w:bCs/>
          <w:color w:val="auto"/>
          <w:sz w:val="24"/>
          <w:szCs w:val="24"/>
          <w:lang w:val="es-419" w:eastAsia="es-PE"/>
        </w:rPr>
        <w:t xml:space="preserve">LUIS ALFREDO FERNANDEZ VIZCARRA</w:t>
      </w:r>
    </w:p>
    <w:p w14:paraId="437BA56D" w14:textId="77777777" w:rsidR="00D94FC8" w:rsidRDefault="00C33799">
      <w:pPr>
        <w:jc w:val="center"/>
      </w:pPr>
      <w:r>
        <w:rPr>
          <w:rFonts w:ascii="Arial" w:eastAsia="Arial" w:hAnsi="Arial" w:cs="Arial"/>
          <w:b/>
          <w:bCs/>
          <w:color w:val="auto"/>
          <w:sz w:val="24"/>
          <w:szCs w:val="24"/>
          <w:lang w:val="es-419" w:eastAsia="es-PE"/>
        </w:rPr>
        <w:t>Integrantes</w:t>
      </w:r>
      <w:r>
        <w:rPr>
          <w:b/>
          <w:sz w:val="21"/>
        </w:rPr>
        <w:t>:</w:t>
      </w:r>
    </w:p>
    <w:p w14:paraId="798618DE" w14:textId="77777777" w:rsidR="00D94FC8" w:rsidRPr="00896BD7" w:rsidRDefault="00C33799">
      <w:pPr>
        <w:spacing w:after="4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Arocutipa Arocutipa, Gian Franco (2023076790)</w:t>
      </w:r>
    </w:p>
    <w:p w14:paraId="2874FE6D" w14:textId="77777777" w:rsidR="00D94FC8" w:rsidRPr="00896BD7" w:rsidRDefault="00C33799">
      <w:pPr>
        <w:spacing w:after="4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Perez Peralta, Fabrizio Salvador Elias (2023077476)</w:t>
      </w:r>
    </w:p>
    <w:p w14:paraId="2B516627" w14:textId="77777777" w:rsidR="00D94FC8" w:rsidRPr="00896BD7" w:rsidRDefault="00C33799">
      <w:pPr>
        <w:spacing w:after="400"/>
        <w:jc w:val="center"/>
        <w:rPr>
          <w:rFonts w:ascii="Arial" w:eastAsia="Arial" w:hAnsi="Arial" w:cs="Arial"/>
          <w:b/>
          <w:bCs/>
          <w:color w:val="auto"/>
          <w:sz w:val="27"/>
          <w:szCs w:val="27"/>
          <w:lang w:val="es-419" w:eastAsia="es-PE"/>
        </w:rPr>
      </w:pPr>
      <w:r>
        <w:rPr>
          <w:rFonts w:ascii="Arial" w:eastAsia="Arial" w:hAnsi="Arial" w:cs="Arial"/>
          <w:b/>
          <w:bCs/>
          <w:color w:val="auto"/>
          <w:sz w:val="27"/>
          <w:szCs w:val="27"/>
          <w:lang w:val="es-419" w:eastAsia="es-PE"/>
        </w:rPr>
        <w:t>LLica Mamani, Jimmy Mijair (2023076789)</w:t>
      </w:r>
    </w:p>
    <w:p w14:paraId="6CC8B5BD" w14:textId="77777777" w:rsidR="00D94FC8" w:rsidRPr="00896BD7" w:rsidRDefault="00C33799" w:rsidP="00896BD7">
      <w:pPr>
        <w:spacing w:after="200"/>
        <w:jc w:val="center"/>
        <w:rPr>
          <w:rFonts w:ascii="Arial" w:eastAsia="Arial" w:hAnsi="Arial" w:cs="Arial"/>
          <w:b/>
          <w:bCs/>
          <w:color w:val="auto"/>
          <w:sz w:val="23"/>
          <w:szCs w:val="23"/>
          <w:lang w:val="es-419" w:eastAsia="es-PE"/>
        </w:rPr>
      </w:pPr>
      <w:r>
        <w:rPr>
          <w:rFonts w:ascii="Arial" w:eastAsia="Arial" w:hAnsi="Arial" w:cs="Arial"/>
          <w:b/>
          <w:bCs/>
          <w:color w:val="auto"/>
          <w:sz w:val="23"/>
          <w:szCs w:val="23"/>
          <w:lang w:val="es-419" w:eastAsia="es-PE"/>
        </w:rPr>
        <w:t>TACNA – PERÚ</w:t>
      </w:r>
    </w:p>
    <w:p>
      <w:pPr>
        <w:spacing w:after="200"/>
        <w:jc w:val="center"/>
        <w:rPr>
          <w:rFonts w:ascii="Arial" w:eastAsia="Arial" w:hAnsi="Arial" w:cs="Arial"/>
          <w:b/>
          <w:bCs/>
          <w:color w:val="auto"/>
          <w:sz w:val="23"/>
          <w:szCs w:val="23"/>
          <w:lang w:val="es-419" w:eastAsia="es-PE"/>
        </w:rPr>
      </w:pPr>
      <w:r>
        <w:rPr>
          <w:rFonts w:ascii="Arial" w:eastAsia="Arial" w:hAnsi="Arial" w:cs="Arial"/>
          <w:b/>
          <w:bCs/>
          <w:color w:val="auto"/>
          <w:sz w:val="23"/>
          <w:szCs w:val="23"/>
          <w:lang w:val="es-419" w:eastAsia="es-PE"/>
        </w:rPr>
        <w:t xml:space="preserve">10 de octubre de 2026</w:t>
      </w:r>
    </w:p>
    <w:p w14:paraId="3D041D80" w14:textId="77777777" w:rsidR="00D94FC8" w:rsidRDefault="00C33799">
      <w:r>
        <w:br w:type="page"/>
      </w:r>
    </w:p>
    <w:p w14:paraId="61EC7FCE" w14:textId="77777777" w:rsidR="00D94FC8" w:rsidRPr="00896BD7" w:rsidRDefault="00C33799">
      <w:pPr>
        <w:spacing w:before="120" w:after="200"/>
        <w:jc w:val="center"/>
        <w:rPr>
          <w:rFonts w:ascii="Arial" w:hAnsi="Arial" w:cs="Arial"/>
          <w:color w:val="auto"/>
        </w:rPr>
      </w:pPr>
      <w:r>
        <w:rPr>
          <w:rFonts w:ascii="Arial" w:hAnsi="Arial" w:cs="Arial"/>
          <w:b/>
          <w:color w:val="auto"/>
          <w:sz w:val="28"/>
        </w:rPr>
        <w:lastRenderedPageBreak/>
        <w:t xml:space="preserve">Índice General</w:t>
      </w:r>
    </w:p>
    <w:p w14:paraId="48EFE68A" w14:textId="77777777" w:rsidR="00D94FC8" w:rsidRPr="00896BD7" w:rsidRDefault="00C33799">
      <w:pPr>
        <w:tabs>
          <w:tab w:val="right" w:leader="dot" w:pos="9350"/>
        </w:tabs>
        <w:spacing w:before="40" w:after="80"/>
        <w:rPr>
          <w:rFonts w:ascii="Arial" w:hAnsi="Arial" w:cs="Arial"/>
          <w:color w:val="auto"/>
        </w:rPr>
      </w:pPr>
      <w:r>
        <w:rPr>
          <w:rFonts w:ascii="Arial" w:hAnsi="Arial" w:cs="Arial"/>
          <w:color w:val="auto"/>
          <w:sz w:val="20"/>
        </w:rPr>
        <w:fldChar w:fldCharType="begin"/>
        <w:instrText xml:space="preserve"> TOC \o "1-1" \h \z \u </w:instrText>
        <w:fldChar w:fldCharType="separate"/>
      </w:r>
      <w:hyperlink w:anchor="_Toc202601" w:history="1">
        <w:r>
          <w:rPr>
            <w:rFonts w:ascii="Arial" w:hAnsi="Arial" w:cs="Arial"/>
            <w:color w:val="auto"/>
            <w:sz w:val="20"/>
          </w:rPr>
          <w:t>1. Descripción del dataset</w:t>
          <w:tab/>
          <w:fldChar w:fldCharType="begin"/>
          <w:instrText xml:space="preserve"> PAGEREF _Toc202601 \h </w:instrText>
          <w:fldChar w:fldCharType="separate"/>
          <w:t>3</w:t>
          <w:fldChar w:fldCharType="end"/>
        </w:r>
      </w:hyperlink>
    </w:p>
    <w:p w14:paraId="366C1AC5" w14:textId="77777777" w:rsidR="00D94FC8" w:rsidRPr="00896BD7" w:rsidRDefault="00C33799">
      <w:pPr>
        <w:tabs>
          <w:tab w:val="right" w:leader="dot" w:pos="9350"/>
        </w:tabs>
        <w:spacing w:before="40" w:after="80"/>
        <w:rPr>
          <w:rFonts w:ascii="Arial" w:hAnsi="Arial" w:cs="Arial"/>
          <w:color w:val="auto"/>
        </w:rPr>
      </w:pPr>
      <w:hyperlink w:anchor="_Toc202602" w:history="1">
        <w:r>
          <w:rPr>
            <w:rFonts w:ascii="Arial" w:hAnsi="Arial" w:cs="Arial"/>
            <w:color w:val="auto"/>
            <w:sz w:val="20"/>
          </w:rPr>
          <w:t>2. Planteamiento del análisis y preguntas de investigación</w:t>
          <w:tab/>
          <w:fldChar w:fldCharType="begin"/>
          <w:instrText xml:space="preserve"> PAGEREF _Toc202602 \h </w:instrText>
          <w:fldChar w:fldCharType="separate"/>
          <w:t>3</w:t>
          <w:fldChar w:fldCharType="end"/>
        </w:r>
      </w:hyperlink>
    </w:p>
    <w:p w14:paraId="6C4BBADA" w14:textId="77777777" w:rsidR="00D94FC8" w:rsidRPr="00896BD7" w:rsidRDefault="00C33799">
      <w:pPr>
        <w:tabs>
          <w:tab w:val="right" w:leader="dot" w:pos="9350"/>
        </w:tabs>
        <w:spacing w:before="40" w:after="80"/>
        <w:rPr>
          <w:rFonts w:ascii="Arial" w:hAnsi="Arial" w:cs="Arial"/>
          <w:color w:val="auto"/>
        </w:rPr>
      </w:pPr>
      <w:hyperlink w:anchor="_Toc202603" w:history="1">
        <w:r>
          <w:rPr>
            <w:rFonts w:ascii="Arial" w:hAnsi="Arial" w:cs="Arial"/>
            <w:color w:val="auto"/>
            <w:sz w:val="20"/>
          </w:rPr>
          <w:t>3. Análisis descriptivo y estimación puntual e intervalar</w:t>
          <w:tab/>
          <w:fldChar w:fldCharType="begin"/>
          <w:instrText xml:space="preserve"> PAGEREF _Toc202603 \h </w:instrText>
          <w:fldChar w:fldCharType="separate"/>
          <w:t>4</w:t>
          <w:fldChar w:fldCharType="end"/>
        </w:r>
      </w:hyperlink>
    </w:p>
    <w:p w14:paraId="304C1B62" w14:textId="77777777" w:rsidR="00D94FC8" w:rsidRPr="00896BD7" w:rsidRDefault="00C33799">
      <w:pPr>
        <w:tabs>
          <w:tab w:val="right" w:leader="dot" w:pos="9350"/>
        </w:tabs>
        <w:spacing w:before="40" w:after="80"/>
        <w:rPr>
          <w:rFonts w:ascii="Arial" w:hAnsi="Arial" w:cs="Arial"/>
          <w:color w:val="auto"/>
        </w:rPr>
      </w:pPr>
      <w:hyperlink w:anchor="_Toc202604" w:history="1">
        <w:r>
          <w:rPr>
            <w:rFonts w:ascii="Arial" w:hAnsi="Arial" w:cs="Arial"/>
            <w:color w:val="auto"/>
            <w:sz w:val="20"/>
          </w:rPr>
          <w:t>4. Verificación de supuestos: Normalidad y Homogeneidad de Varianzas</w:t>
          <w:tab/>
          <w:fldChar w:fldCharType="begin"/>
          <w:instrText xml:space="preserve"> PAGEREF _Toc202604 \h </w:instrText>
          <w:fldChar w:fldCharType="separate"/>
          <w:t>5</w:t>
          <w:fldChar w:fldCharType="end"/>
        </w:r>
      </w:hyperlink>
    </w:p>
    <w:p w14:paraId="72C33E83" w14:textId="77777777" w:rsidR="00D94FC8" w:rsidRPr="00896BD7" w:rsidRDefault="00C33799">
      <w:pPr>
        <w:tabs>
          <w:tab w:val="right" w:leader="dot" w:pos="9350"/>
        </w:tabs>
        <w:spacing w:before="40" w:after="80"/>
        <w:rPr>
          <w:rFonts w:ascii="Arial" w:hAnsi="Arial" w:cs="Arial"/>
          <w:color w:val="auto"/>
        </w:rPr>
      </w:pPr>
      <w:hyperlink w:anchor="_Toc202605" w:history="1">
        <w:r>
          <w:rPr>
            <w:rFonts w:ascii="Arial" w:hAnsi="Arial" w:cs="Arial"/>
            <w:color w:val="auto"/>
            <w:sz w:val="20"/>
          </w:rPr>
          <w:t>5. Procedimiento 1: Prueba de hipótesis para una muestra (stars)</w:t>
          <w:tab/>
          <w:fldChar w:fldCharType="begin"/>
          <w:instrText xml:space="preserve"> PAGEREF _Toc202605 \h </w:instrText>
          <w:fldChar w:fldCharType="separate"/>
          <w:t>6</w:t>
          <w:fldChar w:fldCharType="end"/>
        </w:r>
      </w:hyperlink>
    </w:p>
    <w:p w14:paraId="47422578" w14:textId="77777777" w:rsidR="00D94FC8" w:rsidRPr="00896BD7" w:rsidRDefault="00C33799">
      <w:pPr>
        <w:tabs>
          <w:tab w:val="right" w:leader="dot" w:pos="9350"/>
        </w:tabs>
        <w:spacing w:before="40" w:after="80"/>
        <w:rPr>
          <w:rFonts w:ascii="Arial" w:hAnsi="Arial" w:cs="Arial"/>
          <w:color w:val="auto"/>
        </w:rPr>
      </w:pPr>
      <w:hyperlink w:anchor="_Toc202606" w:history="1">
        <w:r>
          <w:rPr>
            <w:rFonts w:ascii="Arial" w:hAnsi="Arial" w:cs="Arial"/>
            <w:color w:val="auto"/>
            <w:sz w:val="20"/>
          </w:rPr>
          <w:t>6. Procedimiento 2: Comparación de promedios entre dos grupos independientes (ln_forks_1)</w:t>
          <w:tab/>
          <w:fldChar w:fldCharType="begin"/>
          <w:instrText xml:space="preserve"> PAGEREF _Toc202606 \h </w:instrText>
          <w:fldChar w:fldCharType="separate"/>
          <w:t>10</w:t>
          <w:fldChar w:fldCharType="end"/>
        </w:r>
      </w:hyperlink>
    </w:p>
    <w:p w14:paraId="4FA44C6D" w14:textId="77777777" w:rsidR="00D94FC8" w:rsidRPr="00896BD7" w:rsidRDefault="00C33799">
      <w:pPr>
        <w:tabs>
          <w:tab w:val="right" w:leader="dot" w:pos="9350"/>
        </w:tabs>
        <w:spacing w:before="40" w:after="80"/>
        <w:rPr>
          <w:rFonts w:ascii="Arial" w:hAnsi="Arial" w:cs="Arial"/>
          <w:color w:val="auto"/>
        </w:rPr>
      </w:pPr>
      <w:hyperlink w:anchor="_Toc202607" w:history="1">
        <w:r>
          <w:rPr>
            <w:rFonts w:ascii="Arial" w:hAnsi="Arial" w:cs="Arial"/>
            <w:color w:val="auto"/>
            <w:sz w:val="20"/>
          </w:rPr>
          <w:t>7. Procedimiento 3: Comparación de promedios en muestras relacionadas (ln_stars_1 vs. ln_forks_1)</w:t>
          <w:tab/>
          <w:fldChar w:fldCharType="begin"/>
          <w:instrText xml:space="preserve"> PAGEREF _Toc202607 \h </w:instrText>
          <w:fldChar w:fldCharType="separate"/>
          <w:t>12</w:t>
          <w:fldChar w:fldCharType="end"/>
        </w:r>
      </w:hyperlink>
    </w:p>
    <w:p w14:paraId="6D14D7A6" w14:textId="77777777" w:rsidR="00D94FC8" w:rsidRPr="00896BD7" w:rsidRDefault="00C33799">
      <w:pPr>
        <w:tabs>
          <w:tab w:val="right" w:leader="dot" w:pos="9350"/>
        </w:tabs>
        <w:spacing w:before="40" w:after="80"/>
        <w:rPr>
          <w:rFonts w:ascii="Arial" w:hAnsi="Arial" w:cs="Arial"/>
          <w:color w:val="auto"/>
        </w:rPr>
      </w:pPr>
      <w:hyperlink w:anchor="_Toc202608" w:history="1">
        <w:r>
          <w:rPr>
            <w:rFonts w:ascii="Arial" w:hAnsi="Arial" w:cs="Arial"/>
            <w:color w:val="auto"/>
            <w:sz w:val="20"/>
          </w:rPr>
          <w:t>8. Procedimiento 4: Análisis de Varianza (ANOVA) para tres grupos independientes (ln_open_issues_1)</w:t>
          <w:tab/>
          <w:fldChar w:fldCharType="begin"/>
          <w:instrText xml:space="preserve"> PAGEREF _Toc202608 \h </w:instrText>
          <w:fldChar w:fldCharType="separate"/>
          <w:t>15</w:t>
          <w:fldChar w:fldCharType="end"/>
        </w:r>
      </w:hyperlink>
    </w:p>
    <w:p w14:paraId="53A1E447" w14:textId="77777777" w:rsidR="00D94FC8" w:rsidRPr="00896BD7" w:rsidRDefault="00C33799">
      <w:pPr>
        <w:tabs>
          <w:tab w:val="right" w:leader="dot" w:pos="9350"/>
        </w:tabs>
        <w:spacing w:before="40" w:after="80"/>
        <w:rPr>
          <w:rFonts w:ascii="Arial" w:hAnsi="Arial" w:cs="Arial"/>
          <w:color w:val="auto"/>
        </w:rPr>
      </w:pPr>
      <w:hyperlink w:anchor="_Toc202609" w:history="1">
        <w:r>
          <w:rPr>
            <w:rFonts w:ascii="Arial" w:hAnsi="Arial" w:cs="Arial"/>
            <w:color w:val="auto"/>
            <w:sz w:val="20"/>
          </w:rPr>
          <w:t xml:space="preserve">9. Procedimiento 5: Pruebas Post Hoc de comparaciones múltiples (HSD Tukey)</w:t>
          <w:tab/>
          <w:fldChar w:fldCharType="begin"/>
          <w:instrText xml:space="preserve"> PAGEREF _Toc202609 \h </w:instrText>
          <w:fldChar w:fldCharType="separate"/>
          <w:t>16</w:t>
          <w:fldChar w:fldCharType="end"/>
        </w:r>
      </w:hyperlink>
    </w:p>
    <w:p w14:paraId="04BF6411" w14:textId="77777777" w:rsidR="00D94FC8" w:rsidRPr="00896BD7" w:rsidRDefault="00C33799">
      <w:pPr>
        <w:tabs>
          <w:tab w:val="right" w:leader="dot" w:pos="9350"/>
        </w:tabs>
        <w:spacing w:before="40" w:after="80"/>
        <w:rPr>
          <w:rFonts w:ascii="Arial" w:hAnsi="Arial" w:cs="Arial"/>
          <w:color w:val="auto"/>
        </w:rPr>
      </w:pPr>
      <w:hyperlink w:anchor="_Toc202610" w:history="1">
        <w:r>
          <w:rPr>
            <w:rFonts w:ascii="Arial" w:hAnsi="Arial" w:cs="Arial"/>
            <w:color w:val="auto"/>
            <w:sz w:val="20"/>
          </w:rPr>
          <w:t>10. Conclusiones generales</w:t>
          <w:tab/>
          <w:fldChar w:fldCharType="begin"/>
          <w:instrText xml:space="preserve"> PAGEREF _Toc202610 \h </w:instrText>
          <w:fldChar w:fldCharType="separate"/>
          <w:t>19</w:t>
          <w:fldChar w:fldCharType="end"/>
        </w:r>
      </w:hyperlink>
    </w:p>
    <w:p w14:paraId="3D6EA5B6" w14:textId="77777777" w:rsidR="00D94FC8" w:rsidRPr="00896BD7" w:rsidRDefault="00C33799">
      <w:pPr>
        <w:tabs>
          <w:tab w:val="right" w:leader="dot" w:pos="9350"/>
        </w:tabs>
        <w:spacing w:before="40" w:after="80"/>
        <w:rPr>
          <w:rFonts w:ascii="Arial" w:hAnsi="Arial" w:cs="Arial"/>
        </w:rPr>
      </w:pPr>
      <w:hyperlink w:anchor="_Toc202611" w:history="1">
        <w:r>
          <w:rPr>
            <w:rFonts w:ascii="Arial" w:hAnsi="Arial" w:cs="Arial"/>
            <w:color w:val="auto"/>
            <w:sz w:val="20"/>
          </w:rPr>
          <w:t>11. Referencias y fuentes de datos</w:t>
          <w:tab/>
          <w:fldChar w:fldCharType="begin"/>
          <w:instrText xml:space="preserve"> PAGEREF _Toc202611 \h </w:instrText>
          <w:fldChar w:fldCharType="separate"/>
          <w:t>20</w:t>
          <w:fldChar w:fldCharType="end"/>
        </w:r>
      </w:hyperlink>
      <w:r>
        <w:rPr>
          <w:rFonts w:ascii="Arial" w:hAnsi="Arial" w:cs="Arial"/>
          <w:color w:val="auto"/>
          <w:sz w:val="20"/>
        </w:rPr>
        <w:fldChar w:fldCharType="end"/>
      </w:r>
    </w:p>
    <w:p w14:paraId="58D8002C" w14:textId="77777777" w:rsidR="00D94FC8" w:rsidRPr="00896BD7" w:rsidRDefault="00C33799">
      <w:pPr>
        <w:rPr>
          <w:rFonts w:ascii="Arial" w:hAnsi="Arial" w:cs="Arial"/>
        </w:rPr>
      </w:pPr>
      <w:r>
        <w:rPr>
          <w:rFonts w:ascii="Arial" w:hAnsi="Arial" w:cs="Arial"/>
        </w:rPr>
        <w:br w:type="page"/>
      </w:r>
    </w:p>
    <w:p w14:paraId="718B75A4" w14:textId="77777777" w:rsidR="00D94FC8" w:rsidRPr="00896BD7" w:rsidRDefault="00C33799">
      <w:pPr>
        <w:pStyle w:val="Ttulo1"/>
        <w:spacing w:before="200" w:after="60"/>
        <w:jc w:val="left"/>
        <w:rPr>
          <w:rFonts w:ascii="Arial" w:hAnsi="Arial" w:cs="Arial"/>
        </w:rPr>
      </w:pPr>
      <w:bookmarkStart w:id="0" w:name="_Toc202601"/>
      <w:r>
        <w:rPr>
          <w:rFonts w:ascii="Arial" w:hAnsi="Arial" w:cs="Arial"/>
          <w:color w:val="1B365D"/>
          <w:sz w:val="26"/>
        </w:rPr>
        <w:lastRenderedPageBreak/>
        <w:t>1. Descripción del dataset</w:t>
      </w:r>
      <w:bookmarkEnd w:id="0"/>
    </w:p>
    <w:p>
      <w:pPr>
        <w:rPr>
          <w:rFonts w:ascii="Arial" w:hAnsi="Arial" w:cs="Arial"/>
        </w:rPr>
      </w:pPr>
      <w:r>
        <w:rPr>
          <w:rFonts w:ascii="Arial" w:hAnsi="Arial" w:cs="Arial"/>
        </w:rPr>
        <w:t xml:space="preserve">El presente informe práctico aplica los conceptos y procedimientos de la inferencia estadística sobre el dataset real titulado “GitHub Repositories – Heterogeneous Data”, obtenido del repositorio público Kaggle Datasets (https://www.kaggle.com/datasets/elvisbui/top-github-repositories-2026). El archivo fuente contiene 66 641 registros heterogéneos y </w:t>
      </w:r>
      <w:r>
        <w:rPr>
          <w:rFonts w:ascii="Arial" w:hAnsi="Arial" w:cs="Arial"/>
          <w:highlight w:val="yellow"/>
        </w:rPr>
        <w:t xml:space="preserve">[COMPLETAR: N.º TOTAL DE VARIABLES]</w:t>
      </w:r>
      <w:r>
        <w:rPr>
          <w:rFonts w:ascii="Arial" w:hAnsi="Arial" w:cs="Arial"/>
        </w:rPr>
        <w:t xml:space="preserve"> variables, vinculados al desarrollo de software abierto. Para este estudio se filtró la entidad RepositoryItem correspondiente a repositorios cuyo lenguaje primario es Python, consolidando una muestra de n = 1567 repositorios independientes. El área temática del dataset es el desarrollo de software de código abierto y la popularidad, reutilización y mantenimiento de repositorios alojados en GitHub, un ámbito propio de la Ingeniería de Sistemas.</w:t>
      </w:r>
    </w:p>
    <w:p w14:paraId="72CDCB0A" w14:textId="77777777" w:rsidR="00D94FC8" w:rsidRPr="00896BD7" w:rsidRDefault="00C33799">
      <w:pPr>
        <w:rPr>
          <w:rFonts w:ascii="Arial" w:hAnsi="Arial" w:cs="Arial"/>
        </w:rPr>
      </w:pPr>
      <w:r>
        <w:rPr>
          <w:rFonts w:ascii="Arial" w:hAnsi="Arial" w:cs="Arial"/>
        </w:rPr>
        <w:t>Variables analizadas:</w:t>
      </w:r>
    </w:p>
    <w:p w14:paraId="5BF326EE" w14:textId="77777777" w:rsidR="00D94FC8" w:rsidRPr="00896BD7" w:rsidRDefault="00C33799">
      <w:pPr>
        <w:rPr>
          <w:rFonts w:ascii="Arial" w:hAnsi="Arial" w:cs="Arial"/>
        </w:rPr>
      </w:pPr>
      <w:r>
        <w:rPr>
          <w:rFonts w:ascii="Arial" w:hAnsi="Arial" w:cs="Arial"/>
        </w:rPr>
        <w:t xml:space="preserve">• stars (Cuantitativa discreta): Número de estrellas recibidas; principal indicador de popularidad e impacto comunitario.</w:t>
      </w:r>
    </w:p>
    <w:p w14:paraId="1A2972AC" w14:textId="77777777" w:rsidR="00D94FC8" w:rsidRPr="00896BD7" w:rsidRDefault="00C33799">
      <w:pPr>
        <w:rPr>
          <w:rFonts w:ascii="Arial" w:hAnsi="Arial" w:cs="Arial"/>
        </w:rPr>
      </w:pPr>
      <w:r>
        <w:rPr>
          <w:rFonts w:ascii="Arial" w:hAnsi="Arial" w:cs="Arial"/>
        </w:rPr>
        <w:t>• forks (Cuantitativa discreta): Número de copias derivadas; cuantifica la adopción técnica y reutilización del código.</w:t>
      </w:r>
    </w:p>
    <w:p w14:paraId="4320EDC7" w14:textId="77777777" w:rsidR="00D94FC8" w:rsidRPr="00896BD7" w:rsidRDefault="00C33799">
      <w:pPr>
        <w:rPr>
          <w:rFonts w:ascii="Arial" w:hAnsi="Arial" w:cs="Arial"/>
        </w:rPr>
      </w:pPr>
      <w:r>
        <w:rPr>
          <w:rFonts w:ascii="Arial" w:hAnsi="Arial" w:cs="Arial"/>
        </w:rPr>
        <w:t>• open_issues (Cuantitativa discreta): Cantidad de incidencias abiertas; mide la carga de mantenimiento y deuda técnica pendiente.</w:t>
      </w:r>
    </w:p>
    <w:p w14:paraId="614EB518" w14:textId="77777777" w:rsidR="00D94FC8" w:rsidRPr="00896BD7" w:rsidRDefault="00C33799">
      <w:pPr>
        <w:rPr>
          <w:rFonts w:ascii="Arial" w:hAnsi="Arial" w:cs="Arial"/>
        </w:rPr>
      </w:pPr>
      <w:r>
        <w:rPr>
          <w:rFonts w:ascii="Arial" w:hAnsi="Arial" w:cs="Arial"/>
        </w:rPr>
        <w:t xml:space="preserve">• ln_stars_1, ln_forks_1, ln_open_issues_1 (Cuantitativas transformadas): Transformaciones logarítmicas ln(X + 1) para estabilizar varianzas.</w:t>
      </w:r>
    </w:p>
    <w:p w14:paraId="238656B4" w14:textId="77777777" w:rsidR="00D94FC8" w:rsidRPr="00896BD7" w:rsidRDefault="00C33799">
      <w:pPr>
        <w:rPr>
          <w:rFonts w:ascii="Arial" w:hAnsi="Arial" w:cs="Arial"/>
        </w:rPr>
      </w:pPr>
      <w:r>
        <w:rPr>
          <w:rFonts w:ascii="Arial" w:hAnsi="Arial" w:cs="Arial"/>
        </w:rPr>
        <w:t>• owner_type / owner2 (Cualitativa nominal dicotómica): Tipo de propietario: Organization (n = 878) y User (n = 689).</w:t>
      </w:r>
    </w:p>
    <w:p>
      <w:pPr>
        <w:rPr>
          <w:rFonts w:ascii="Arial" w:hAnsi="Arial" w:cs="Arial"/>
        </w:rPr>
      </w:pPr>
      <w:r>
        <w:rPr>
          <w:rFonts w:ascii="Arial" w:hAnsi="Arial" w:cs="Arial"/>
        </w:rPr>
        <w:t xml:space="preserve">• license_spdx_id / lic3 (Cualitativa nominal politómica): Licencia del software: MIT (lic3 = 1.00; n = 546), Apache-2.0 (lic3 = 2.00; n = 405) y GPL-3.0 (lic3 = 3.00; n = 112), sumando N = 1063 para el ANOVA. Se seleccionaron estas tres licencias por ser las de uso más extendido en el software libre y contar con grupos de tamaño suficiente (n ≥ 112) para el ANOVA; los 504 repositorios restantes de la muestra (32.17 %), con otras licencias o sin licencia identificada, se excluyeron para trabajar con un factor de tres niveles claramente definidos.</w:t>
      </w:r>
    </w:p>
    <w:p w14:paraId="17F499E0" w14:textId="77777777" w:rsidR="00D94FC8" w:rsidRPr="00896BD7" w:rsidRDefault="00C33799">
      <w:pPr>
        <w:pStyle w:val="Ttulo1"/>
        <w:spacing w:before="200" w:after="60"/>
        <w:jc w:val="left"/>
        <w:rPr>
          <w:rFonts w:ascii="Arial" w:hAnsi="Arial" w:cs="Arial"/>
        </w:rPr>
      </w:pPr>
      <w:bookmarkStart w:id="1" w:name="_Toc202602"/>
      <w:r>
        <w:rPr>
          <w:rFonts w:ascii="Arial" w:hAnsi="Arial" w:cs="Arial"/>
          <w:color w:val="1B365D"/>
          <w:sz w:val="26"/>
        </w:rPr>
        <w:t>2. Planteamiento del análisis y preguntas de investigación</w:t>
      </w:r>
      <w:bookmarkEnd w:id="1"/>
    </w:p>
    <w:p w14:paraId="1DBFE4A5" w14:textId="77777777" w:rsidR="00D94FC8" w:rsidRPr="00896BD7" w:rsidRDefault="00C33799">
      <w:pPr>
        <w:rPr>
          <w:rFonts w:ascii="Arial" w:hAnsi="Arial" w:cs="Arial"/>
        </w:rPr>
      </w:pPr>
      <w:r>
        <w:rPr>
          <w:rFonts w:ascii="Arial" w:hAnsi="Arial" w:cs="Arial"/>
        </w:rPr>
        <w:t>En Ingeniería de Sistemas, el éxito y sostenibilidad de una solución de código abierto dependen de factores organizacionales y jurídicos. Se busca evaluar si los indicadores de popularidad, reutilización y mantenimiento presentan diferencias significativas o si se ajustan a valores de referencia. Para ello, se formulan las siguientes 5 preguntas de investigación relacionadas con los contenidos del curso:</w:t>
      </w:r>
    </w:p>
    <w:p>
      <w:pPr>
        <w:rPr>
          <w:rFonts w:ascii="Arial" w:hAnsi="Arial" w:cs="Arial"/>
        </w:rPr>
      </w:pPr>
      <w:r>
        <w:rPr>
          <w:rFonts w:ascii="Arial" w:hAnsi="Arial" w:cs="Arial"/>
        </w:rPr>
        <w:t xml:space="preserve">• Q1 (Una muestra): ¿El promedio poblacional de popularidad (stars) de los repositorios de Python difiere del valor de referencia de 9000 estrellas?</w:t>
      </w:r>
    </w:p>
    <w:p w14:paraId="288E1B4C" w14:textId="77777777" w:rsidR="00D94FC8" w:rsidRPr="00896BD7" w:rsidRDefault="00C33799">
      <w:pPr>
        <w:rPr>
          <w:rFonts w:ascii="Arial" w:hAnsi="Arial" w:cs="Arial"/>
        </w:rPr>
      </w:pPr>
      <w:r>
        <w:rPr>
          <w:rFonts w:ascii="Arial" w:hAnsi="Arial" w:cs="Arial"/>
        </w:rPr>
        <w:t>• Q2 (Dos grupos independientes): ¿Existe diferencia significativa en las bifurcaciones transformadas (ln_forks_1) entre proyectos de Organizaciones y de Usuarios individuales?</w:t>
      </w:r>
    </w:p>
    <w:p w14:paraId="6EB9EA0E" w14:textId="77777777" w:rsidR="00D94FC8" w:rsidRPr="00896BD7" w:rsidRDefault="00C33799">
      <w:pPr>
        <w:rPr>
          <w:rFonts w:ascii="Arial" w:hAnsi="Arial" w:cs="Arial"/>
        </w:rPr>
      </w:pPr>
      <w:r>
        <w:rPr>
          <w:rFonts w:ascii="Arial" w:hAnsi="Arial" w:cs="Arial"/>
        </w:rPr>
        <w:t>• Q3 (Muestras relacionadas): ¿Existe diferencia estadísticamente significativa entre el promedio de estrellas (ln_stars_1) y bifurcaciones (ln_forks_1) evaluadas sobre los mismos repositorios?</w:t>
      </w:r>
    </w:p>
    <w:p w14:paraId="6D5504CF" w14:textId="77777777" w:rsidR="00D94FC8" w:rsidRPr="00896BD7" w:rsidRDefault="00C33799">
      <w:pPr>
        <w:rPr>
          <w:rFonts w:ascii="Arial" w:hAnsi="Arial" w:cs="Arial"/>
        </w:rPr>
      </w:pPr>
      <w:r>
        <w:rPr>
          <w:rFonts w:ascii="Arial" w:hAnsi="Arial" w:cs="Arial"/>
        </w:rPr>
        <w:t>• Q4 (ANOVA de un factor): ¿Existen diferencias significativas en las incidencias abiertas transformadas (ln_open_issues_1) según el tipo de licencia (MIT, Apache-2.0 y GPL-3.0)?</w:t>
      </w:r>
    </w:p>
    <w:p w14:paraId="71A65E6D" w14:textId="77777777" w:rsidR="00D94FC8" w:rsidRPr="00896BD7" w:rsidRDefault="00C33799">
      <w:pPr>
        <w:rPr>
          <w:rFonts w:ascii="Arial" w:hAnsi="Arial" w:cs="Arial"/>
        </w:rPr>
      </w:pPr>
      <w:r>
        <w:rPr>
          <w:rFonts w:ascii="Arial" w:hAnsi="Arial" w:cs="Arial"/>
        </w:rPr>
        <w:lastRenderedPageBreak/>
        <w:t>• Q5 (Pruebas Post Hoc): ¿Entre qué grupos específicos de licencias se localizan las diferencias significativas en la carga de mantenimiento?</w:t>
      </w:r>
    </w:p>
    <w:p w14:paraId="168164BA" w14:textId="77777777" w:rsidR="00D94FC8" w:rsidRPr="00896BD7" w:rsidRDefault="00C33799">
      <w:pPr>
        <w:pStyle w:val="Ttulo1"/>
        <w:spacing w:before="200" w:after="60"/>
        <w:jc w:val="left"/>
        <w:rPr>
          <w:rFonts w:ascii="Arial" w:hAnsi="Arial" w:cs="Arial"/>
        </w:rPr>
      </w:pPr>
      <w:bookmarkStart w:id="2" w:name="_Toc202603"/>
      <w:r>
        <w:rPr>
          <w:rFonts w:ascii="Arial" w:hAnsi="Arial" w:cs="Arial"/>
          <w:color w:val="1B365D"/>
          <w:sz w:val="26"/>
        </w:rPr>
        <w:t>3. Análisis descriptivo y estimación puntual e intervalar</w:t>
      </w:r>
      <w:bookmarkEnd w:id="2"/>
    </w:p>
    <w:p w14:paraId="7D01E10C" w14:textId="77777777" w:rsidR="00D94FC8" w:rsidRPr="00896BD7" w:rsidRDefault="00C33799">
      <w:pPr>
        <w:rPr>
          <w:rFonts w:ascii="Arial" w:hAnsi="Arial" w:cs="Arial"/>
        </w:rPr>
      </w:pPr>
      <w:r>
        <w:rPr>
          <w:rFonts w:ascii="Arial" w:hAnsi="Arial" w:cs="Arial"/>
        </w:rPr>
        <w:t xml:space="preserve">La Tabla 1 resume los estadísticos descriptivos fundamentales, asimetría, curtosis e intervalos de confianza al 95 % para la muestra completa (n = 1567). En todas las variables la media supera a la mediana, constatando asimetría positiva.</w:t>
      </w:r>
    </w:p>
    <w:p w14:paraId="4C239360" w14:textId="77777777" w:rsidR="00D94FC8" w:rsidRPr="00896BD7" w:rsidRDefault="00C33799">
      <w:pPr>
        <w:jc w:val="center"/>
        <w:rPr>
          <w:rFonts w:ascii="Arial" w:hAnsi="Arial" w:cs="Arial"/>
        </w:rPr>
      </w:pPr>
      <w:r>
        <w:rPr>
          <w:rFonts w:ascii="Arial" w:hAnsi="Arial" w:cs="Arial"/>
          <w:b/>
          <w:color w:val="1B365D"/>
          <w:sz w:val="20"/>
        </w:rPr>
        <w:t>Tabla 1. Estadísticos descriptivos generales e intervalos de confianza al 95 % (n = 1567).</w:t>
      </w:r>
    </w:p>
    <w:tbl>
      <w:tblPr>
        <w:tblW w:w="10000" w:type="dxa"/>
        <w:jc w:val="center"/>
        <w:tblLook w:val="04A0" w:firstRow="1" w:lastRow="0" w:firstColumn="1" w:lastColumn="0" w:noHBand="0" w:noVBand="1"/>
      </w:tblPr>
      <w:tblGrid>
        <w:gridCol w:w="995"/>
        <w:gridCol w:w="1067"/>
        <w:gridCol w:w="1096"/>
        <w:gridCol w:w="997"/>
        <w:gridCol w:w="942"/>
        <w:gridCol w:w="1017"/>
        <w:gridCol w:w="1082"/>
        <w:gridCol w:w="998"/>
        <w:gridCol w:w="1806"/>
      </w:tblGrid>
      <w:tr w:rsidR="00D94FC8" w:rsidRPr="00896BD7" w14:paraId="4DE96306" w14:textId="77777777" w:rsidTr="00896BD7">
        <w:trPr>
          <w:cantSplit/>
          <w:tblHeader/>
          <w:jc w:val="center"/>
        </w:trPr>
        <w:tc>
          <w:tcPr>
            <w:tcW w:w="1000" w:type="dxa"/>
            <w:tcBorders>
              <w:top w:val="single" w:sz="4" w:space="0" w:color="BDC3C7"/>
              <w:bottom w:val="single" w:sz="4" w:space="0" w:color="BDC3C7"/>
            </w:tcBorders>
            <w:shd w:val="clear" w:color="auto" w:fill="808080" w:themeFill="background1" w:themeFillShade="80"/>
            <w:vAlign w:val="center"/>
          </w:tcPr>
          <w:p w14:paraId="0BD9BA32" w14:textId="77777777" w:rsidR="00D94FC8" w:rsidRPr="00896BD7" w:rsidRDefault="00C33799">
            <w:pPr>
              <w:jc w:val="center"/>
              <w:rPr>
                <w:rFonts w:ascii="Arial" w:hAnsi="Arial" w:cs="Arial"/>
              </w:rPr>
            </w:pPr>
            <w:r>
              <w:rPr>
                <w:rFonts w:ascii="Arial" w:hAnsi="Arial" w:cs="Arial"/>
                <w:b/>
                <w:color w:val="FFFFFF"/>
                <w:sz w:val="19"/>
              </w:rPr>
              <w:t>Variable</w:t>
            </w:r>
          </w:p>
        </w:tc>
        <w:tc>
          <w:tcPr>
            <w:tcW w:w="1000" w:type="dxa"/>
            <w:tcBorders>
              <w:top w:val="single" w:sz="4" w:space="0" w:color="BDC3C7"/>
              <w:bottom w:val="single" w:sz="4" w:space="0" w:color="BDC3C7"/>
            </w:tcBorders>
            <w:shd w:val="clear" w:color="auto" w:fill="808080" w:themeFill="background1" w:themeFillShade="80"/>
            <w:vAlign w:val="center"/>
          </w:tcPr>
          <w:p w14:paraId="3AC8CE5B" w14:textId="77777777" w:rsidR="00D94FC8" w:rsidRPr="00896BD7" w:rsidRDefault="00C33799">
            <w:pPr>
              <w:jc w:val="center"/>
              <w:rPr>
                <w:rFonts w:ascii="Arial" w:hAnsi="Arial" w:cs="Arial"/>
              </w:rPr>
            </w:pPr>
            <w:r>
              <w:rPr>
                <w:rFonts w:ascii="Arial" w:hAnsi="Arial" w:cs="Arial"/>
                <w:b/>
                <w:color w:val="FFFFFF"/>
                <w:sz w:val="19"/>
              </w:rPr>
              <w:t>Media (μ̂)</w:t>
            </w:r>
          </w:p>
        </w:tc>
        <w:tc>
          <w:tcPr>
            <w:tcW w:w="1100" w:type="dxa"/>
            <w:tcBorders>
              <w:top w:val="single" w:sz="4" w:space="0" w:color="BDC3C7"/>
              <w:bottom w:val="single" w:sz="4" w:space="0" w:color="BDC3C7"/>
            </w:tcBorders>
            <w:shd w:val="clear" w:color="auto" w:fill="808080" w:themeFill="background1" w:themeFillShade="80"/>
            <w:vAlign w:val="center"/>
          </w:tcPr>
          <w:p w14:paraId="44A149C2" w14:textId="77777777" w:rsidR="00D94FC8" w:rsidRPr="00896BD7" w:rsidRDefault="00C33799">
            <w:pPr>
              <w:jc w:val="center"/>
              <w:rPr>
                <w:rFonts w:ascii="Arial" w:hAnsi="Arial" w:cs="Arial"/>
              </w:rPr>
            </w:pPr>
            <w:r>
              <w:rPr>
                <w:rFonts w:ascii="Arial" w:hAnsi="Arial" w:cs="Arial"/>
                <w:b/>
                <w:color w:val="FFFFFF"/>
                <w:sz w:val="19"/>
              </w:rPr>
              <w:t>Desv. Est. (s)</w:t>
            </w:r>
          </w:p>
        </w:tc>
        <w:tc>
          <w:tcPr>
            <w:tcW w:w="1000" w:type="dxa"/>
            <w:tcBorders>
              <w:top w:val="single" w:sz="4" w:space="0" w:color="BDC3C7"/>
              <w:bottom w:val="single" w:sz="4" w:space="0" w:color="BDC3C7"/>
            </w:tcBorders>
            <w:shd w:val="clear" w:color="auto" w:fill="808080" w:themeFill="background1" w:themeFillShade="80"/>
            <w:vAlign w:val="center"/>
          </w:tcPr>
          <w:p w14:paraId="7A976300" w14:textId="77777777" w:rsidR="00D94FC8" w:rsidRPr="00896BD7" w:rsidRDefault="00C33799">
            <w:pPr>
              <w:jc w:val="center"/>
              <w:rPr>
                <w:rFonts w:ascii="Arial" w:hAnsi="Arial" w:cs="Arial"/>
              </w:rPr>
            </w:pPr>
            <w:r>
              <w:rPr>
                <w:rFonts w:ascii="Arial" w:hAnsi="Arial" w:cs="Arial"/>
                <w:b/>
                <w:color w:val="FFFFFF"/>
                <w:sz w:val="19"/>
              </w:rPr>
              <w:t>Mediana</w:t>
            </w:r>
          </w:p>
        </w:tc>
        <w:tc>
          <w:tcPr>
            <w:tcW w:w="950" w:type="dxa"/>
            <w:tcBorders>
              <w:top w:val="single" w:sz="4" w:space="0" w:color="BDC3C7"/>
              <w:bottom w:val="single" w:sz="4" w:space="0" w:color="BDC3C7"/>
            </w:tcBorders>
            <w:shd w:val="clear" w:color="auto" w:fill="808080" w:themeFill="background1" w:themeFillShade="80"/>
            <w:vAlign w:val="center"/>
          </w:tcPr>
          <w:p w14:paraId="1CBDFACD" w14:textId="77777777" w:rsidR="00D94FC8" w:rsidRPr="00896BD7" w:rsidRDefault="00C33799">
            <w:pPr>
              <w:jc w:val="center"/>
              <w:rPr>
                <w:rFonts w:ascii="Arial" w:hAnsi="Arial" w:cs="Arial"/>
              </w:rPr>
            </w:pPr>
            <w:r>
              <w:rPr>
                <w:rFonts w:ascii="Arial" w:hAnsi="Arial" w:cs="Arial"/>
                <w:b/>
                <w:color w:val="FFFFFF"/>
                <w:sz w:val="19"/>
              </w:rPr>
              <w:t>Mínimo</w:t>
            </w:r>
          </w:p>
        </w:tc>
        <w:tc>
          <w:tcPr>
            <w:tcW w:w="1000" w:type="dxa"/>
            <w:tcBorders>
              <w:top w:val="single" w:sz="4" w:space="0" w:color="BDC3C7"/>
              <w:bottom w:val="single" w:sz="4" w:space="0" w:color="BDC3C7"/>
            </w:tcBorders>
            <w:shd w:val="clear" w:color="auto" w:fill="808080" w:themeFill="background1" w:themeFillShade="80"/>
            <w:vAlign w:val="center"/>
          </w:tcPr>
          <w:p w14:paraId="3F4B516E" w14:textId="77777777" w:rsidR="00D94FC8" w:rsidRPr="00896BD7" w:rsidRDefault="00C33799">
            <w:pPr>
              <w:jc w:val="center"/>
              <w:rPr>
                <w:rFonts w:ascii="Arial" w:hAnsi="Arial" w:cs="Arial"/>
              </w:rPr>
            </w:pPr>
            <w:r>
              <w:rPr>
                <w:rFonts w:ascii="Arial" w:hAnsi="Arial" w:cs="Arial"/>
                <w:b/>
                <w:color w:val="FFFFFF"/>
                <w:sz w:val="19"/>
              </w:rPr>
              <w:t>Máximo</w:t>
            </w:r>
          </w:p>
        </w:tc>
        <w:tc>
          <w:tcPr>
            <w:tcW w:w="1050" w:type="dxa"/>
            <w:tcBorders>
              <w:top w:val="single" w:sz="4" w:space="0" w:color="BDC3C7"/>
              <w:bottom w:val="single" w:sz="4" w:space="0" w:color="BDC3C7"/>
            </w:tcBorders>
            <w:shd w:val="clear" w:color="auto" w:fill="808080" w:themeFill="background1" w:themeFillShade="80"/>
            <w:vAlign w:val="center"/>
          </w:tcPr>
          <w:p w14:paraId="477FC353" w14:textId="77777777" w:rsidR="00D94FC8" w:rsidRPr="00896BD7" w:rsidRDefault="00C33799">
            <w:pPr>
              <w:jc w:val="center"/>
              <w:rPr>
                <w:rFonts w:ascii="Arial" w:hAnsi="Arial" w:cs="Arial"/>
              </w:rPr>
            </w:pPr>
            <w:r>
              <w:rPr>
                <w:rFonts w:ascii="Arial" w:hAnsi="Arial" w:cs="Arial"/>
                <w:b/>
                <w:color w:val="FFFFFF"/>
                <w:sz w:val="19"/>
              </w:rPr>
              <w:t>Asimetría</w:t>
            </w:r>
          </w:p>
        </w:tc>
        <w:tc>
          <w:tcPr>
            <w:tcW w:w="1000" w:type="dxa"/>
            <w:tcBorders>
              <w:top w:val="single" w:sz="4" w:space="0" w:color="BDC3C7"/>
              <w:bottom w:val="single" w:sz="4" w:space="0" w:color="BDC3C7"/>
            </w:tcBorders>
            <w:shd w:val="clear" w:color="auto" w:fill="808080" w:themeFill="background1" w:themeFillShade="80"/>
            <w:vAlign w:val="center"/>
          </w:tcPr>
          <w:p w14:paraId="0B75233E" w14:textId="77777777" w:rsidR="00D94FC8" w:rsidRPr="00896BD7" w:rsidRDefault="00C33799">
            <w:pPr>
              <w:jc w:val="center"/>
              <w:rPr>
                <w:rFonts w:ascii="Arial" w:hAnsi="Arial" w:cs="Arial"/>
              </w:rPr>
            </w:pPr>
            <w:r>
              <w:rPr>
                <w:rFonts w:ascii="Arial" w:hAnsi="Arial" w:cs="Arial"/>
                <w:b/>
                <w:color w:val="FFFFFF"/>
                <w:sz w:val="19"/>
              </w:rPr>
              <w:t>Curtosis</w:t>
            </w:r>
          </w:p>
        </w:tc>
        <w:tc>
          <w:tcPr>
            <w:tcW w:w="1900" w:type="dxa"/>
            <w:tcBorders>
              <w:top w:val="single" w:sz="4" w:space="0" w:color="BDC3C7"/>
              <w:bottom w:val="single" w:sz="4" w:space="0" w:color="BDC3C7"/>
            </w:tcBorders>
            <w:shd w:val="clear" w:color="auto" w:fill="808080" w:themeFill="background1" w:themeFillShade="80"/>
            <w:vAlign w:val="center"/>
          </w:tcPr>
          <w:p w14:paraId="27D5BE11" w14:textId="77777777" w:rsidR="00D94FC8" w:rsidRPr="00896BD7" w:rsidRDefault="00C33799">
            <w:pPr>
              <w:jc w:val="center"/>
              <w:rPr>
                <w:rFonts w:ascii="Arial" w:hAnsi="Arial" w:cs="Arial"/>
              </w:rPr>
            </w:pPr>
            <w:r>
              <w:rPr>
                <w:rFonts w:ascii="Arial" w:hAnsi="Arial" w:cs="Arial"/>
                <w:b/>
                <w:color w:val="FFFFFF"/>
                <w:sz w:val="19"/>
              </w:rPr>
              <w:t>IC 95 % para la Media</w:t>
            </w:r>
          </w:p>
        </w:tc>
      </w:tr>
      <w:tr w:rsidR="00D94FC8" w:rsidRPr="00896BD7" w14:paraId="0E785A7B"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0D88B6A6" w14:textId="77777777" w:rsidR="00D94FC8" w:rsidRPr="00896BD7" w:rsidRDefault="00C33799">
            <w:pPr>
              <w:jc w:val="left"/>
              <w:rPr>
                <w:rFonts w:ascii="Arial" w:hAnsi="Arial" w:cs="Arial"/>
              </w:rPr>
            </w:pPr>
            <w:r>
              <w:rPr>
                <w:rFonts w:ascii="Arial" w:hAnsi="Arial" w:cs="Arial"/>
                <w:sz w:val="18"/>
              </w:rPr>
              <w:t>Stars</w:t>
            </w:r>
          </w:p>
        </w:tc>
        <w:tc>
          <w:tcPr>
            <w:tcW w:w="1000" w:type="dxa"/>
            <w:tcBorders>
              <w:top w:val="single" w:sz="4" w:space="0" w:color="BDC3C7"/>
              <w:bottom w:val="single" w:sz="4" w:space="0" w:color="BDC3C7"/>
            </w:tcBorders>
            <w:shd w:val="clear" w:color="auto" w:fill="FFFFFF" w:themeFill="background1"/>
            <w:vAlign w:val="center"/>
          </w:tcPr>
          <w:p w14:paraId="50D3AD22" w14:textId="77777777" w:rsidR="00D94FC8" w:rsidRPr="00896BD7" w:rsidRDefault="00C33799">
            <w:pPr>
              <w:jc w:val="right"/>
              <w:rPr>
                <w:rFonts w:ascii="Arial" w:hAnsi="Arial" w:cs="Arial"/>
              </w:rPr>
            </w:pPr>
            <w:r>
              <w:rPr>
                <w:rFonts w:ascii="Arial" w:hAnsi="Arial" w:cs="Arial"/>
                <w:sz w:val="18"/>
              </w:rPr>
              <w:t>8963.88</w:t>
            </w:r>
          </w:p>
        </w:tc>
        <w:tc>
          <w:tcPr>
            <w:tcW w:w="1100" w:type="dxa"/>
            <w:tcBorders>
              <w:top w:val="single" w:sz="4" w:space="0" w:color="BDC3C7"/>
              <w:bottom w:val="single" w:sz="4" w:space="0" w:color="BDC3C7"/>
            </w:tcBorders>
            <w:shd w:val="clear" w:color="auto" w:fill="FFFFFF" w:themeFill="background1"/>
            <w:vAlign w:val="center"/>
          </w:tcPr>
          <w:p w14:paraId="63A5DF58" w14:textId="77777777" w:rsidR="00D94FC8" w:rsidRPr="00896BD7" w:rsidRDefault="00C33799">
            <w:pPr>
              <w:jc w:val="right"/>
              <w:rPr>
                <w:rFonts w:ascii="Arial" w:hAnsi="Arial" w:cs="Arial"/>
              </w:rPr>
            </w:pPr>
            <w:r>
              <w:rPr>
                <w:rFonts w:ascii="Arial" w:hAnsi="Arial" w:cs="Arial"/>
                <w:sz w:val="18"/>
              </w:rPr>
              <w:t>4411.51</w:t>
            </w:r>
          </w:p>
        </w:tc>
        <w:tc>
          <w:tcPr>
            <w:tcW w:w="1000" w:type="dxa"/>
            <w:tcBorders>
              <w:top w:val="single" w:sz="4" w:space="0" w:color="BDC3C7"/>
              <w:bottom w:val="single" w:sz="4" w:space="0" w:color="BDC3C7"/>
            </w:tcBorders>
            <w:shd w:val="clear" w:color="auto" w:fill="FFFFFF" w:themeFill="background1"/>
            <w:vAlign w:val="center"/>
          </w:tcPr>
          <w:p w14:paraId="6D7625AE" w14:textId="77777777" w:rsidR="00D94FC8" w:rsidRPr="00896BD7" w:rsidRDefault="00C33799">
            <w:pPr>
              <w:jc w:val="right"/>
              <w:rPr>
                <w:rFonts w:ascii="Arial" w:hAnsi="Arial" w:cs="Arial"/>
              </w:rPr>
            </w:pPr>
            <w:r>
              <w:rPr>
                <w:rFonts w:ascii="Arial" w:hAnsi="Arial" w:cs="Arial"/>
                <w:sz w:val="18"/>
              </w:rPr>
              <w:t>8539.00</w:t>
            </w:r>
          </w:p>
        </w:tc>
        <w:tc>
          <w:tcPr>
            <w:tcW w:w="950" w:type="dxa"/>
            <w:tcBorders>
              <w:top w:val="single" w:sz="4" w:space="0" w:color="BDC3C7"/>
              <w:bottom w:val="single" w:sz="4" w:space="0" w:color="BDC3C7"/>
            </w:tcBorders>
            <w:shd w:val="clear" w:color="auto" w:fill="FFFFFF" w:themeFill="background1"/>
            <w:vAlign w:val="center"/>
          </w:tcPr>
          <w:p w14:paraId="689087EF" w14:textId="77777777" w:rsidR="00D94FC8" w:rsidRPr="00896BD7" w:rsidRDefault="00C33799">
            <w:pPr>
              <w:jc w:val="right"/>
              <w:rPr>
                <w:rFonts w:ascii="Arial" w:hAnsi="Arial" w:cs="Arial"/>
              </w:rPr>
            </w:pPr>
            <w:r>
              <w:rPr>
                <w:rFonts w:ascii="Arial" w:hAnsi="Arial" w:cs="Arial"/>
                <w:sz w:val="18"/>
              </w:rPr>
              <w:t>4001</w:t>
            </w:r>
          </w:p>
        </w:tc>
        <w:tc>
          <w:tcPr>
            <w:tcW w:w="1000" w:type="dxa"/>
            <w:tcBorders>
              <w:top w:val="single" w:sz="4" w:space="0" w:color="BDC3C7"/>
              <w:bottom w:val="single" w:sz="4" w:space="0" w:color="BDC3C7"/>
            </w:tcBorders>
            <w:shd w:val="clear" w:color="auto" w:fill="FFFFFF" w:themeFill="background1"/>
            <w:vAlign w:val="center"/>
          </w:tcPr>
          <w:p w14:paraId="0BBBC241" w14:textId="77777777" w:rsidR="00D94FC8" w:rsidRPr="00896BD7" w:rsidRDefault="00C33799">
            <w:pPr>
              <w:jc w:val="right"/>
              <w:rPr>
                <w:rFonts w:ascii="Arial" w:hAnsi="Arial" w:cs="Arial"/>
              </w:rPr>
            </w:pPr>
            <w:r>
              <w:rPr>
                <w:rFonts w:ascii="Arial" w:hAnsi="Arial" w:cs="Arial"/>
                <w:sz w:val="18"/>
              </w:rPr>
              <w:t>19931</w:t>
            </w:r>
          </w:p>
        </w:tc>
        <w:tc>
          <w:tcPr>
            <w:tcW w:w="1050" w:type="dxa"/>
            <w:tcBorders>
              <w:top w:val="single" w:sz="4" w:space="0" w:color="BDC3C7"/>
              <w:bottom w:val="single" w:sz="4" w:space="0" w:color="BDC3C7"/>
            </w:tcBorders>
            <w:shd w:val="clear" w:color="auto" w:fill="FFFFFF" w:themeFill="background1"/>
            <w:vAlign w:val="center"/>
          </w:tcPr>
          <w:p w14:paraId="3D17F6B4" w14:textId="77777777" w:rsidR="00D94FC8" w:rsidRPr="00896BD7" w:rsidRDefault="00C33799">
            <w:pPr>
              <w:jc w:val="right"/>
              <w:rPr>
                <w:rFonts w:ascii="Arial" w:hAnsi="Arial" w:cs="Arial"/>
              </w:rPr>
            </w:pPr>
            <w:r>
              <w:rPr>
                <w:rFonts w:ascii="Arial" w:hAnsi="Arial" w:cs="Arial"/>
                <w:sz w:val="18"/>
              </w:rPr>
              <w:t>0.60</w:t>
            </w:r>
          </w:p>
        </w:tc>
        <w:tc>
          <w:tcPr>
            <w:tcW w:w="1000" w:type="dxa"/>
            <w:tcBorders>
              <w:top w:val="single" w:sz="4" w:space="0" w:color="BDC3C7"/>
              <w:bottom w:val="single" w:sz="4" w:space="0" w:color="BDC3C7"/>
            </w:tcBorders>
            <w:shd w:val="clear" w:color="auto" w:fill="FFFFFF" w:themeFill="background1"/>
            <w:vAlign w:val="center"/>
          </w:tcPr>
          <w:p w14:paraId="5B602EFB" w14:textId="77777777" w:rsidR="00D94FC8" w:rsidRPr="00896BD7" w:rsidRDefault="00C33799">
            <w:pPr>
              <w:jc w:val="right"/>
              <w:rPr>
                <w:rFonts w:ascii="Arial" w:hAnsi="Arial" w:cs="Arial"/>
              </w:rPr>
            </w:pPr>
            <w:r>
              <w:rPr>
                <w:rFonts w:ascii="Arial" w:hAnsi="Arial" w:cs="Arial"/>
                <w:sz w:val="18"/>
              </w:rPr>
              <w:t>-0.66</w:t>
            </w:r>
          </w:p>
        </w:tc>
        <w:tc>
          <w:tcPr>
            <w:tcW w:w="1900" w:type="dxa"/>
            <w:tcBorders>
              <w:top w:val="single" w:sz="4" w:space="0" w:color="BDC3C7"/>
              <w:bottom w:val="single" w:sz="4" w:space="0" w:color="BDC3C7"/>
            </w:tcBorders>
            <w:shd w:val="clear" w:color="auto" w:fill="FFFFFF" w:themeFill="background1"/>
            <w:vAlign w:val="center"/>
          </w:tcPr>
          <w:p w14:paraId="13F739FD" w14:textId="77777777" w:rsidR="00D94FC8" w:rsidRPr="00896BD7" w:rsidRDefault="00C33799">
            <w:pPr>
              <w:jc w:val="right"/>
              <w:rPr>
                <w:rFonts w:ascii="Arial" w:hAnsi="Arial" w:cs="Arial"/>
              </w:rPr>
            </w:pPr>
            <w:r>
              <w:rPr>
                <w:rFonts w:ascii="Arial" w:hAnsi="Arial" w:cs="Arial"/>
                <w:sz w:val="18"/>
              </w:rPr>
              <w:t xml:space="preserve">[8745.29 ; 9182.48]</w:t>
            </w:r>
          </w:p>
        </w:tc>
      </w:tr>
      <w:tr w:rsidR="00D94FC8" w:rsidRPr="00896BD7" w14:paraId="25711DA0"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3A33E3AC" w14:textId="77777777" w:rsidR="00D94FC8" w:rsidRPr="00896BD7" w:rsidRDefault="00C33799">
            <w:pPr>
              <w:jc w:val="left"/>
              <w:rPr>
                <w:rFonts w:ascii="Arial" w:hAnsi="Arial" w:cs="Arial"/>
              </w:rPr>
            </w:pPr>
            <w:r>
              <w:rPr>
                <w:rFonts w:ascii="Arial" w:hAnsi="Arial" w:cs="Arial"/>
                <w:sz w:val="18"/>
              </w:rPr>
              <w:t>Forks</w:t>
            </w:r>
          </w:p>
        </w:tc>
        <w:tc>
          <w:tcPr>
            <w:tcW w:w="1000" w:type="dxa"/>
            <w:tcBorders>
              <w:top w:val="single" w:sz="4" w:space="0" w:color="BDC3C7"/>
              <w:bottom w:val="single" w:sz="4" w:space="0" w:color="BDC3C7"/>
            </w:tcBorders>
            <w:shd w:val="clear" w:color="auto" w:fill="FFFFFF" w:themeFill="background1"/>
            <w:vAlign w:val="center"/>
          </w:tcPr>
          <w:p w14:paraId="73B1FFCB" w14:textId="77777777" w:rsidR="00D94FC8" w:rsidRPr="00896BD7" w:rsidRDefault="00C33799">
            <w:pPr>
              <w:jc w:val="right"/>
              <w:rPr>
                <w:rFonts w:ascii="Arial" w:hAnsi="Arial" w:cs="Arial"/>
              </w:rPr>
            </w:pPr>
            <w:r>
              <w:rPr>
                <w:rFonts w:ascii="Arial" w:hAnsi="Arial" w:cs="Arial"/>
                <w:sz w:val="18"/>
              </w:rPr>
              <w:t>1318.58</w:t>
            </w:r>
          </w:p>
        </w:tc>
        <w:tc>
          <w:tcPr>
            <w:tcW w:w="1100" w:type="dxa"/>
            <w:tcBorders>
              <w:top w:val="single" w:sz="4" w:space="0" w:color="BDC3C7"/>
              <w:bottom w:val="single" w:sz="4" w:space="0" w:color="BDC3C7"/>
            </w:tcBorders>
            <w:shd w:val="clear" w:color="auto" w:fill="FFFFFF" w:themeFill="background1"/>
            <w:vAlign w:val="center"/>
          </w:tcPr>
          <w:p w14:paraId="0EAF0570" w14:textId="77777777" w:rsidR="00D94FC8" w:rsidRPr="00896BD7" w:rsidRDefault="00C33799">
            <w:pPr>
              <w:jc w:val="right"/>
              <w:rPr>
                <w:rFonts w:ascii="Arial" w:hAnsi="Arial" w:cs="Arial"/>
              </w:rPr>
            </w:pPr>
            <w:r>
              <w:rPr>
                <w:rFonts w:ascii="Arial" w:hAnsi="Arial" w:cs="Arial"/>
                <w:sz w:val="18"/>
              </w:rPr>
              <w:t>1211.51</w:t>
            </w:r>
          </w:p>
        </w:tc>
        <w:tc>
          <w:tcPr>
            <w:tcW w:w="1000" w:type="dxa"/>
            <w:tcBorders>
              <w:top w:val="single" w:sz="4" w:space="0" w:color="BDC3C7"/>
              <w:bottom w:val="single" w:sz="4" w:space="0" w:color="BDC3C7"/>
            </w:tcBorders>
            <w:shd w:val="clear" w:color="auto" w:fill="FFFFFF" w:themeFill="background1"/>
            <w:vAlign w:val="center"/>
          </w:tcPr>
          <w:p w14:paraId="6B70425F" w14:textId="77777777" w:rsidR="00D94FC8" w:rsidRPr="00896BD7" w:rsidRDefault="00C33799">
            <w:pPr>
              <w:jc w:val="right"/>
              <w:rPr>
                <w:rFonts w:ascii="Arial" w:hAnsi="Arial" w:cs="Arial"/>
              </w:rPr>
            </w:pPr>
            <w:r>
              <w:rPr>
                <w:rFonts w:ascii="Arial" w:hAnsi="Arial" w:cs="Arial"/>
                <w:sz w:val="18"/>
              </w:rPr>
              <w:t>998.00</w:t>
            </w:r>
          </w:p>
        </w:tc>
        <w:tc>
          <w:tcPr>
            <w:tcW w:w="950" w:type="dxa"/>
            <w:tcBorders>
              <w:top w:val="single" w:sz="4" w:space="0" w:color="BDC3C7"/>
              <w:bottom w:val="single" w:sz="4" w:space="0" w:color="BDC3C7"/>
            </w:tcBorders>
            <w:shd w:val="clear" w:color="auto" w:fill="FFFFFF" w:themeFill="background1"/>
            <w:vAlign w:val="center"/>
          </w:tcPr>
          <w:p w14:paraId="4CAF288D" w14:textId="77777777" w:rsidR="00D94FC8" w:rsidRPr="00896BD7" w:rsidRDefault="00C33799">
            <w:pPr>
              <w:jc w:val="right"/>
              <w:rPr>
                <w:rFonts w:ascii="Arial" w:hAnsi="Arial" w:cs="Arial"/>
              </w:rPr>
            </w:pPr>
            <w:r>
              <w:rPr>
                <w:rFonts w:ascii="Arial" w:hAnsi="Arial" w:cs="Arial"/>
                <w:sz w:val="18"/>
              </w:rPr>
              <w:t>8</w:t>
            </w:r>
          </w:p>
        </w:tc>
        <w:tc>
          <w:tcPr>
            <w:tcW w:w="1000" w:type="dxa"/>
            <w:tcBorders>
              <w:top w:val="single" w:sz="4" w:space="0" w:color="BDC3C7"/>
              <w:bottom w:val="single" w:sz="4" w:space="0" w:color="BDC3C7"/>
            </w:tcBorders>
            <w:shd w:val="clear" w:color="auto" w:fill="FFFFFF" w:themeFill="background1"/>
            <w:vAlign w:val="center"/>
          </w:tcPr>
          <w:p w14:paraId="76B394BE" w14:textId="77777777" w:rsidR="00D94FC8" w:rsidRPr="00896BD7" w:rsidRDefault="00C33799">
            <w:pPr>
              <w:jc w:val="right"/>
              <w:rPr>
                <w:rFonts w:ascii="Arial" w:hAnsi="Arial" w:cs="Arial"/>
              </w:rPr>
            </w:pPr>
            <w:r>
              <w:rPr>
                <w:rFonts w:ascii="Arial" w:hAnsi="Arial" w:cs="Arial"/>
                <w:sz w:val="18"/>
              </w:rPr>
              <w:t>19556</w:t>
            </w:r>
          </w:p>
        </w:tc>
        <w:tc>
          <w:tcPr>
            <w:tcW w:w="1050" w:type="dxa"/>
            <w:tcBorders>
              <w:top w:val="single" w:sz="4" w:space="0" w:color="BDC3C7"/>
              <w:bottom w:val="single" w:sz="4" w:space="0" w:color="BDC3C7"/>
            </w:tcBorders>
            <w:shd w:val="clear" w:color="auto" w:fill="FFFFFF" w:themeFill="background1"/>
            <w:vAlign w:val="center"/>
          </w:tcPr>
          <w:p w14:paraId="625E2FF6" w14:textId="77777777" w:rsidR="00D94FC8" w:rsidRPr="00896BD7" w:rsidRDefault="00C33799">
            <w:pPr>
              <w:jc w:val="right"/>
              <w:rPr>
                <w:rFonts w:ascii="Arial" w:hAnsi="Arial" w:cs="Arial"/>
              </w:rPr>
            </w:pPr>
            <w:r>
              <w:rPr>
                <w:rFonts w:ascii="Arial" w:hAnsi="Arial" w:cs="Arial"/>
                <w:sz w:val="18"/>
              </w:rPr>
              <w:t>4.74</w:t>
            </w:r>
          </w:p>
        </w:tc>
        <w:tc>
          <w:tcPr>
            <w:tcW w:w="1000" w:type="dxa"/>
            <w:tcBorders>
              <w:top w:val="single" w:sz="4" w:space="0" w:color="BDC3C7"/>
              <w:bottom w:val="single" w:sz="4" w:space="0" w:color="BDC3C7"/>
            </w:tcBorders>
            <w:shd w:val="clear" w:color="auto" w:fill="FFFFFF" w:themeFill="background1"/>
            <w:vAlign w:val="center"/>
          </w:tcPr>
          <w:p w14:paraId="5262E2C8" w14:textId="77777777" w:rsidR="00D94FC8" w:rsidRPr="00896BD7" w:rsidRDefault="00C33799">
            <w:pPr>
              <w:jc w:val="right"/>
              <w:rPr>
                <w:rFonts w:ascii="Arial" w:hAnsi="Arial" w:cs="Arial"/>
              </w:rPr>
            </w:pPr>
            <w:r>
              <w:rPr>
                <w:rFonts w:ascii="Arial" w:hAnsi="Arial" w:cs="Arial"/>
                <w:sz w:val="18"/>
              </w:rPr>
              <w:t>48.69</w:t>
            </w:r>
          </w:p>
        </w:tc>
        <w:tc>
          <w:tcPr>
            <w:tcW w:w="1900" w:type="dxa"/>
            <w:tcBorders>
              <w:top w:val="single" w:sz="4" w:space="0" w:color="BDC3C7"/>
              <w:bottom w:val="single" w:sz="4" w:space="0" w:color="BDC3C7"/>
            </w:tcBorders>
            <w:shd w:val="clear" w:color="auto" w:fill="FFFFFF" w:themeFill="background1"/>
            <w:vAlign w:val="center"/>
          </w:tcPr>
          <w:p w14:paraId="36A2FA82" w14:textId="77777777" w:rsidR="00D94FC8" w:rsidRPr="00896BD7" w:rsidRDefault="00C33799">
            <w:pPr>
              <w:jc w:val="right"/>
              <w:rPr>
                <w:rFonts w:ascii="Arial" w:hAnsi="Arial" w:cs="Arial"/>
              </w:rPr>
            </w:pPr>
            <w:r>
              <w:rPr>
                <w:rFonts w:ascii="Arial" w:hAnsi="Arial" w:cs="Arial"/>
                <w:sz w:val="18"/>
              </w:rPr>
              <w:t xml:space="preserve">[1258.55 ; 1378.61]</w:t>
            </w:r>
          </w:p>
        </w:tc>
      </w:tr>
      <w:tr w:rsidR="00D94FC8" w:rsidRPr="00896BD7" w14:paraId="5DE694A1"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7F8A5924" w14:textId="77777777" w:rsidR="00D94FC8" w:rsidRPr="00896BD7" w:rsidRDefault="00C33799">
            <w:pPr>
              <w:jc w:val="left"/>
              <w:rPr>
                <w:rFonts w:ascii="Arial" w:hAnsi="Arial" w:cs="Arial"/>
              </w:rPr>
            </w:pPr>
            <w:r>
              <w:rPr>
                <w:rFonts w:ascii="Arial" w:hAnsi="Arial" w:cs="Arial"/>
                <w:sz w:val="18"/>
              </w:rPr>
              <w:t>Open Issues</w:t>
            </w:r>
          </w:p>
        </w:tc>
        <w:tc>
          <w:tcPr>
            <w:tcW w:w="1000" w:type="dxa"/>
            <w:tcBorders>
              <w:top w:val="single" w:sz="4" w:space="0" w:color="BDC3C7"/>
              <w:bottom w:val="single" w:sz="4" w:space="0" w:color="BDC3C7"/>
            </w:tcBorders>
            <w:shd w:val="clear" w:color="auto" w:fill="FFFFFF" w:themeFill="background1"/>
            <w:vAlign w:val="center"/>
          </w:tcPr>
          <w:p w14:paraId="798AA7FF" w14:textId="77777777" w:rsidR="00D94FC8" w:rsidRPr="00896BD7" w:rsidRDefault="00C33799">
            <w:pPr>
              <w:jc w:val="right"/>
              <w:rPr>
                <w:rFonts w:ascii="Arial" w:hAnsi="Arial" w:cs="Arial"/>
              </w:rPr>
            </w:pPr>
            <w:r>
              <w:rPr>
                <w:rFonts w:ascii="Arial" w:hAnsi="Arial" w:cs="Arial"/>
                <w:sz w:val="18"/>
              </w:rPr>
              <w:t>179.91</w:t>
            </w:r>
          </w:p>
        </w:tc>
        <w:tc>
          <w:tcPr>
            <w:tcW w:w="1100" w:type="dxa"/>
            <w:tcBorders>
              <w:top w:val="single" w:sz="4" w:space="0" w:color="BDC3C7"/>
              <w:bottom w:val="single" w:sz="4" w:space="0" w:color="BDC3C7"/>
            </w:tcBorders>
            <w:shd w:val="clear" w:color="auto" w:fill="FFFFFF" w:themeFill="background1"/>
            <w:vAlign w:val="center"/>
          </w:tcPr>
          <w:p w14:paraId="575BCD75" w14:textId="77777777" w:rsidR="00D94FC8" w:rsidRPr="00896BD7" w:rsidRDefault="00C33799">
            <w:pPr>
              <w:jc w:val="right"/>
              <w:rPr>
                <w:rFonts w:ascii="Arial" w:hAnsi="Arial" w:cs="Arial"/>
              </w:rPr>
            </w:pPr>
            <w:r>
              <w:rPr>
                <w:rFonts w:ascii="Arial" w:hAnsi="Arial" w:cs="Arial"/>
                <w:sz w:val="18"/>
              </w:rPr>
              <w:t>337.52</w:t>
            </w:r>
          </w:p>
        </w:tc>
        <w:tc>
          <w:tcPr>
            <w:tcW w:w="1000" w:type="dxa"/>
            <w:tcBorders>
              <w:top w:val="single" w:sz="4" w:space="0" w:color="BDC3C7"/>
              <w:bottom w:val="single" w:sz="4" w:space="0" w:color="BDC3C7"/>
            </w:tcBorders>
            <w:shd w:val="clear" w:color="auto" w:fill="FFFFFF" w:themeFill="background1"/>
            <w:vAlign w:val="center"/>
          </w:tcPr>
          <w:p w14:paraId="77E5EA07" w14:textId="77777777" w:rsidR="00D94FC8" w:rsidRPr="00896BD7" w:rsidRDefault="00C33799">
            <w:pPr>
              <w:jc w:val="right"/>
              <w:rPr>
                <w:rFonts w:ascii="Arial" w:hAnsi="Arial" w:cs="Arial"/>
              </w:rPr>
            </w:pPr>
            <w:r>
              <w:rPr>
                <w:rFonts w:ascii="Arial" w:hAnsi="Arial" w:cs="Arial"/>
                <w:sz w:val="18"/>
              </w:rPr>
              <w:t>78.00</w:t>
            </w:r>
          </w:p>
        </w:tc>
        <w:tc>
          <w:tcPr>
            <w:tcW w:w="950" w:type="dxa"/>
            <w:tcBorders>
              <w:top w:val="single" w:sz="4" w:space="0" w:color="BDC3C7"/>
              <w:bottom w:val="single" w:sz="4" w:space="0" w:color="BDC3C7"/>
            </w:tcBorders>
            <w:shd w:val="clear" w:color="auto" w:fill="FFFFFF" w:themeFill="background1"/>
            <w:vAlign w:val="center"/>
          </w:tcPr>
          <w:p w14:paraId="4A4FF74B" w14:textId="77777777" w:rsidR="00D94FC8" w:rsidRPr="00896BD7" w:rsidRDefault="00C33799">
            <w:pPr>
              <w:jc w:val="right"/>
              <w:rPr>
                <w:rFonts w:ascii="Arial" w:hAnsi="Arial" w:cs="Arial"/>
              </w:rPr>
            </w:pPr>
            <w:r>
              <w:rPr>
                <w:rFonts w:ascii="Arial" w:hAnsi="Arial" w:cs="Arial"/>
                <w:sz w:val="18"/>
              </w:rPr>
              <w:t>0</w:t>
            </w:r>
          </w:p>
        </w:tc>
        <w:tc>
          <w:tcPr>
            <w:tcW w:w="1000" w:type="dxa"/>
            <w:tcBorders>
              <w:top w:val="single" w:sz="4" w:space="0" w:color="BDC3C7"/>
              <w:bottom w:val="single" w:sz="4" w:space="0" w:color="BDC3C7"/>
            </w:tcBorders>
            <w:shd w:val="clear" w:color="auto" w:fill="FFFFFF" w:themeFill="background1"/>
            <w:vAlign w:val="center"/>
          </w:tcPr>
          <w:p w14:paraId="78CECFAF" w14:textId="77777777" w:rsidR="00D94FC8" w:rsidRPr="00896BD7" w:rsidRDefault="00C33799">
            <w:pPr>
              <w:jc w:val="right"/>
              <w:rPr>
                <w:rFonts w:ascii="Arial" w:hAnsi="Arial" w:cs="Arial"/>
              </w:rPr>
            </w:pPr>
            <w:r>
              <w:rPr>
                <w:rFonts w:ascii="Arial" w:hAnsi="Arial" w:cs="Arial"/>
                <w:sz w:val="18"/>
              </w:rPr>
              <w:t>5959</w:t>
            </w:r>
          </w:p>
        </w:tc>
        <w:tc>
          <w:tcPr>
            <w:tcW w:w="1050" w:type="dxa"/>
            <w:tcBorders>
              <w:top w:val="single" w:sz="4" w:space="0" w:color="BDC3C7"/>
              <w:bottom w:val="single" w:sz="4" w:space="0" w:color="BDC3C7"/>
            </w:tcBorders>
            <w:shd w:val="clear" w:color="auto" w:fill="FFFFFF" w:themeFill="background1"/>
            <w:vAlign w:val="center"/>
          </w:tcPr>
          <w:p w14:paraId="31026BCE" w14:textId="77777777" w:rsidR="00D94FC8" w:rsidRPr="00896BD7" w:rsidRDefault="00C33799">
            <w:pPr>
              <w:jc w:val="right"/>
              <w:rPr>
                <w:rFonts w:ascii="Arial" w:hAnsi="Arial" w:cs="Arial"/>
              </w:rPr>
            </w:pPr>
            <w:r>
              <w:rPr>
                <w:rFonts w:ascii="Arial" w:hAnsi="Arial" w:cs="Arial"/>
                <w:sz w:val="18"/>
              </w:rPr>
              <w:t>6.71</w:t>
            </w:r>
          </w:p>
        </w:tc>
        <w:tc>
          <w:tcPr>
            <w:tcW w:w="1000" w:type="dxa"/>
            <w:tcBorders>
              <w:top w:val="single" w:sz="4" w:space="0" w:color="BDC3C7"/>
              <w:bottom w:val="single" w:sz="4" w:space="0" w:color="BDC3C7"/>
            </w:tcBorders>
            <w:shd w:val="clear" w:color="auto" w:fill="FFFFFF" w:themeFill="background1"/>
            <w:vAlign w:val="center"/>
          </w:tcPr>
          <w:p w14:paraId="44EE81CC" w14:textId="77777777" w:rsidR="00D94FC8" w:rsidRPr="00896BD7" w:rsidRDefault="00C33799">
            <w:pPr>
              <w:jc w:val="right"/>
              <w:rPr>
                <w:rFonts w:ascii="Arial" w:hAnsi="Arial" w:cs="Arial"/>
              </w:rPr>
            </w:pPr>
            <w:r>
              <w:rPr>
                <w:rFonts w:ascii="Arial" w:hAnsi="Arial" w:cs="Arial"/>
                <w:sz w:val="18"/>
              </w:rPr>
              <w:t>76.95</w:t>
            </w:r>
          </w:p>
        </w:tc>
        <w:tc>
          <w:tcPr>
            <w:tcW w:w="1900" w:type="dxa"/>
            <w:tcBorders>
              <w:top w:val="single" w:sz="4" w:space="0" w:color="BDC3C7"/>
              <w:bottom w:val="single" w:sz="4" w:space="0" w:color="BDC3C7"/>
            </w:tcBorders>
            <w:shd w:val="clear" w:color="auto" w:fill="FFFFFF" w:themeFill="background1"/>
            <w:vAlign w:val="center"/>
          </w:tcPr>
          <w:p w14:paraId="0CF63F49" w14:textId="77777777" w:rsidR="00D94FC8" w:rsidRPr="00896BD7" w:rsidRDefault="00C33799">
            <w:pPr>
              <w:jc w:val="right"/>
              <w:rPr>
                <w:rFonts w:ascii="Arial" w:hAnsi="Arial" w:cs="Arial"/>
              </w:rPr>
            </w:pPr>
            <w:r>
              <w:rPr>
                <w:rFonts w:ascii="Arial" w:hAnsi="Arial" w:cs="Arial"/>
                <w:sz w:val="18"/>
              </w:rPr>
              <w:t xml:space="preserve">[163.18 ; 196.63]</w:t>
            </w:r>
          </w:p>
        </w:tc>
      </w:tr>
      <w:tr w:rsidR="00D94FC8" w:rsidRPr="00896BD7" w14:paraId="3A96F43B" w14:textId="77777777" w:rsidTr="00816B8E">
        <w:trPr>
          <w:cantSplit/>
          <w:jc w:val="center"/>
        </w:trPr>
        <w:tc>
          <w:tcPr>
            <w:tcW w:w="1000" w:type="dxa"/>
            <w:tcBorders>
              <w:top w:val="single" w:sz="4" w:space="0" w:color="BDC3C7"/>
              <w:bottom w:val="single" w:sz="4" w:space="0" w:color="BDC3C7"/>
            </w:tcBorders>
            <w:shd w:val="clear" w:color="auto" w:fill="FFFFFF" w:themeFill="background1"/>
            <w:vAlign w:val="center"/>
          </w:tcPr>
          <w:p w14:paraId="71E0DEC5" w14:textId="77777777" w:rsidR="00D94FC8" w:rsidRPr="00896BD7" w:rsidRDefault="00C33799">
            <w:pPr>
              <w:jc w:val="left"/>
              <w:rPr>
                <w:rFonts w:ascii="Arial" w:hAnsi="Arial" w:cs="Arial"/>
              </w:rPr>
            </w:pPr>
            <w:r>
              <w:rPr>
                <w:rFonts w:ascii="Arial" w:hAnsi="Arial" w:cs="Arial"/>
                <w:sz w:val="18"/>
              </w:rPr>
              <w:t>Size (KB)</w:t>
            </w:r>
          </w:p>
        </w:tc>
        <w:tc>
          <w:tcPr>
            <w:tcW w:w="1000" w:type="dxa"/>
            <w:tcBorders>
              <w:top w:val="single" w:sz="4" w:space="0" w:color="BDC3C7"/>
              <w:bottom w:val="single" w:sz="4" w:space="0" w:color="BDC3C7"/>
            </w:tcBorders>
            <w:shd w:val="clear" w:color="auto" w:fill="FFFFFF" w:themeFill="background1"/>
            <w:vAlign w:val="center"/>
          </w:tcPr>
          <w:p w14:paraId="5ACF1630" w14:textId="77777777" w:rsidR="00D94FC8" w:rsidRPr="00896BD7" w:rsidRDefault="00C33799">
            <w:pPr>
              <w:jc w:val="right"/>
              <w:rPr>
                <w:rFonts w:ascii="Arial" w:hAnsi="Arial" w:cs="Arial"/>
              </w:rPr>
            </w:pPr>
            <w:r>
              <w:rPr>
                <w:rFonts w:ascii="Arial" w:hAnsi="Arial" w:cs="Arial"/>
                <w:sz w:val="18"/>
              </w:rPr>
              <w:t>136916.26</w:t>
            </w:r>
          </w:p>
        </w:tc>
        <w:tc>
          <w:tcPr>
            <w:tcW w:w="1100" w:type="dxa"/>
            <w:tcBorders>
              <w:top w:val="single" w:sz="4" w:space="0" w:color="BDC3C7"/>
              <w:bottom w:val="single" w:sz="4" w:space="0" w:color="BDC3C7"/>
            </w:tcBorders>
            <w:shd w:val="clear" w:color="auto" w:fill="FFFFFF" w:themeFill="background1"/>
            <w:vAlign w:val="center"/>
          </w:tcPr>
          <w:p w14:paraId="55931B8F" w14:textId="77777777" w:rsidR="00D94FC8" w:rsidRPr="00896BD7" w:rsidRDefault="00C33799">
            <w:pPr>
              <w:jc w:val="right"/>
              <w:rPr>
                <w:rFonts w:ascii="Arial" w:hAnsi="Arial" w:cs="Arial"/>
              </w:rPr>
            </w:pPr>
            <w:r>
              <w:rPr>
                <w:rFonts w:ascii="Arial" w:hAnsi="Arial" w:cs="Arial"/>
                <w:sz w:val="18"/>
              </w:rPr>
              <w:t>769547.30</w:t>
            </w:r>
          </w:p>
        </w:tc>
        <w:tc>
          <w:tcPr>
            <w:tcW w:w="1000" w:type="dxa"/>
            <w:tcBorders>
              <w:top w:val="single" w:sz="4" w:space="0" w:color="BDC3C7"/>
              <w:bottom w:val="single" w:sz="4" w:space="0" w:color="BDC3C7"/>
            </w:tcBorders>
            <w:shd w:val="clear" w:color="auto" w:fill="FFFFFF" w:themeFill="background1"/>
            <w:vAlign w:val="center"/>
          </w:tcPr>
          <w:p w14:paraId="07951AEA" w14:textId="77777777" w:rsidR="00D94FC8" w:rsidRPr="00896BD7" w:rsidRDefault="00C33799">
            <w:pPr>
              <w:jc w:val="right"/>
              <w:rPr>
                <w:rFonts w:ascii="Arial" w:hAnsi="Arial" w:cs="Arial"/>
              </w:rPr>
            </w:pPr>
            <w:r>
              <w:rPr>
                <w:rFonts w:ascii="Arial" w:hAnsi="Arial" w:cs="Arial"/>
                <w:sz w:val="18"/>
              </w:rPr>
              <w:t>16923.00</w:t>
            </w:r>
          </w:p>
        </w:tc>
        <w:tc>
          <w:tcPr>
            <w:tcW w:w="950" w:type="dxa"/>
            <w:tcBorders>
              <w:top w:val="single" w:sz="4" w:space="0" w:color="BDC3C7"/>
              <w:bottom w:val="single" w:sz="4" w:space="0" w:color="BDC3C7"/>
            </w:tcBorders>
            <w:shd w:val="clear" w:color="auto" w:fill="FFFFFF" w:themeFill="background1"/>
            <w:vAlign w:val="center"/>
          </w:tcPr>
          <w:p w14:paraId="7E362DF0" w14:textId="77777777" w:rsidR="00D94FC8" w:rsidRPr="00896BD7" w:rsidRDefault="00C33799">
            <w:pPr>
              <w:jc w:val="right"/>
              <w:rPr>
                <w:rFonts w:ascii="Arial" w:hAnsi="Arial" w:cs="Arial"/>
              </w:rPr>
            </w:pPr>
            <w:r>
              <w:rPr>
                <w:rFonts w:ascii="Arial" w:hAnsi="Arial" w:cs="Arial"/>
                <w:sz w:val="18"/>
              </w:rPr>
              <w:t>3</w:t>
            </w:r>
          </w:p>
        </w:tc>
        <w:tc>
          <w:tcPr>
            <w:tcW w:w="1000" w:type="dxa"/>
            <w:tcBorders>
              <w:top w:val="single" w:sz="4" w:space="0" w:color="BDC3C7"/>
              <w:bottom w:val="single" w:sz="4" w:space="0" w:color="BDC3C7"/>
            </w:tcBorders>
            <w:shd w:val="clear" w:color="auto" w:fill="FFFFFF" w:themeFill="background1"/>
            <w:vAlign w:val="center"/>
          </w:tcPr>
          <w:p w14:paraId="7F8D5375" w14:textId="77777777" w:rsidR="00D94FC8" w:rsidRPr="00896BD7" w:rsidRDefault="00C33799">
            <w:pPr>
              <w:jc w:val="right"/>
              <w:rPr>
                <w:rFonts w:ascii="Arial" w:hAnsi="Arial" w:cs="Arial"/>
              </w:rPr>
            </w:pPr>
            <w:r>
              <w:rPr>
                <w:rFonts w:ascii="Arial" w:hAnsi="Arial" w:cs="Arial"/>
                <w:sz w:val="18"/>
              </w:rPr>
              <w:t>20737671</w:t>
            </w:r>
          </w:p>
        </w:tc>
        <w:tc>
          <w:tcPr>
            <w:tcW w:w="1050" w:type="dxa"/>
            <w:tcBorders>
              <w:top w:val="single" w:sz="4" w:space="0" w:color="BDC3C7"/>
              <w:bottom w:val="single" w:sz="4" w:space="0" w:color="BDC3C7"/>
            </w:tcBorders>
            <w:shd w:val="clear" w:color="auto" w:fill="FFFFFF" w:themeFill="background1"/>
            <w:vAlign w:val="center"/>
          </w:tcPr>
          <w:p w14:paraId="6BC7B8B2" w14:textId="77777777" w:rsidR="00D94FC8" w:rsidRPr="00896BD7" w:rsidRDefault="00C33799">
            <w:pPr>
              <w:jc w:val="right"/>
              <w:rPr>
                <w:rFonts w:ascii="Arial" w:hAnsi="Arial" w:cs="Arial"/>
              </w:rPr>
            </w:pPr>
            <w:r>
              <w:rPr>
                <w:rFonts w:ascii="Arial" w:hAnsi="Arial" w:cs="Arial"/>
                <w:sz w:val="18"/>
              </w:rPr>
              <w:t>16.94</w:t>
            </w:r>
          </w:p>
        </w:tc>
        <w:tc>
          <w:tcPr>
            <w:tcW w:w="1000" w:type="dxa"/>
            <w:tcBorders>
              <w:top w:val="single" w:sz="4" w:space="0" w:color="BDC3C7"/>
              <w:bottom w:val="single" w:sz="4" w:space="0" w:color="BDC3C7"/>
            </w:tcBorders>
            <w:shd w:val="clear" w:color="auto" w:fill="FFFFFF" w:themeFill="background1"/>
            <w:vAlign w:val="center"/>
          </w:tcPr>
          <w:p w14:paraId="680574FB" w14:textId="77777777" w:rsidR="00D94FC8" w:rsidRPr="00896BD7" w:rsidRDefault="00C33799">
            <w:pPr>
              <w:jc w:val="right"/>
              <w:rPr>
                <w:rFonts w:ascii="Arial" w:hAnsi="Arial" w:cs="Arial"/>
              </w:rPr>
            </w:pPr>
            <w:r>
              <w:rPr>
                <w:rFonts w:ascii="Arial" w:hAnsi="Arial" w:cs="Arial"/>
                <w:sz w:val="18"/>
              </w:rPr>
              <w:t>373.41</w:t>
            </w:r>
          </w:p>
        </w:tc>
        <w:tc>
          <w:tcPr>
            <w:tcW w:w="1900" w:type="dxa"/>
            <w:tcBorders>
              <w:top w:val="single" w:sz="4" w:space="0" w:color="BDC3C7"/>
              <w:bottom w:val="single" w:sz="4" w:space="0" w:color="BDC3C7"/>
            </w:tcBorders>
            <w:shd w:val="clear" w:color="auto" w:fill="FFFFFF" w:themeFill="background1"/>
            <w:vAlign w:val="center"/>
          </w:tcPr>
          <w:p w14:paraId="3465A5D0" w14:textId="77777777" w:rsidR="00D94FC8" w:rsidRPr="00896BD7" w:rsidRDefault="00C33799">
            <w:pPr>
              <w:jc w:val="right"/>
              <w:rPr>
                <w:rFonts w:ascii="Arial" w:hAnsi="Arial" w:cs="Arial"/>
              </w:rPr>
            </w:pPr>
            <w:r>
              <w:rPr>
                <w:rFonts w:ascii="Arial" w:hAnsi="Arial" w:cs="Arial"/>
                <w:sz w:val="18"/>
              </w:rPr>
              <w:t xml:space="preserve">[98784.76 ; 175047.76]</w:t>
            </w:r>
          </w:p>
        </w:tc>
      </w:tr>
    </w:tbl>
    <w:p w14:paraId="4C2442D7" w14:textId="77777777" w:rsidR="00D94FC8" w:rsidRPr="00896BD7" w:rsidRDefault="00D94FC8">
      <w:pPr>
        <w:spacing w:after="80"/>
        <w:rPr>
          <w:rFonts w:ascii="Arial" w:hAnsi="Arial" w:cs="Arial"/>
        </w:rPr>
      </w:pPr>
    </w:p>
    <w:p w14:paraId="26250FEB" w14:textId="77777777" w:rsidR="00D94FC8" w:rsidRPr="00896BD7" w:rsidRDefault="00C33799">
      <w:pPr>
        <w:rPr>
          <w:rFonts w:ascii="Arial" w:hAnsi="Arial" w:cs="Arial"/>
        </w:rPr>
      </w:pPr>
      <w:r>
        <w:rPr>
          <w:rFonts w:ascii="Arial" w:hAnsi="Arial" w:cs="Arial"/>
        </w:rPr>
        <w:t xml:space="preserve">Estimación puntual y proporciones: El promedio estimado de stars es de 8963.88. Con 95 % de confianza, la media poblacional se ubica entre 8745.29 y 9182.48. Además, 573 repositorios (36.57 %) superan las 10 000 estrellas (IC 95 %: [34.18 % ; 38.95 %]) y 130 repositorios (8.30 %) superan las 500 incidencias abiertas (IC 95 %: [6.93 % ; 9.67 %]).</w:t>
      </w:r>
    </w:p>
    <w:p>
      <w:pPr>
        <w:rPr>
          <w:rFonts w:ascii="Arial" w:hAnsi="Arial" w:cs="Arial"/>
        </w:rPr>
      </w:pPr>
      <w:r>
        <w:rPr>
          <w:rFonts w:ascii="Arial" w:hAnsi="Arial" w:cs="Arial"/>
        </w:rPr>
        <w:t xml:space="preserve">Interpretación de la popularidad: la media (8963.88) y la mediana (8539) son parecidas y la asimetría es leve (0.60), por lo que stars es la variable más equilibrada del conjunto. Como el mínimo es 4001, todos los repositorios analizados ya son populares. El intervalo de confianza es estrecho (±218.6 estrellas, cerca de ±2.4 %), así que la media poblacional está bien estimada. Además, 36.57 % de los repositorios supera las 10 000 estrellas; es decir, unos dos de cada tres (63.43 %) quedan por debajo de ese nivel.</w:t>
      </w:r>
    </w:p>
    <w:p w14:paraId="76E06DBB" w14:textId="77777777" w:rsidR="00D94FC8" w:rsidRPr="00896BD7" w:rsidRDefault="00C33799">
      <w:pPr>
        <w:rPr>
          <w:rFonts w:ascii="Arial" w:hAnsi="Arial" w:cs="Arial"/>
        </w:rPr>
      </w:pPr>
      <w:r>
        <w:rPr>
          <w:rFonts w:ascii="Arial" w:hAnsi="Arial" w:cs="Arial"/>
        </w:rPr>
        <w:t xml:space="preserve">Interpretación del resto de variables: En forks, la media (1318.58; IC 95 %: [1258.55 ; 1378.61]) supera ampliamente a la mediana (998), con asimetría de 4.74, lo que revela unos pocos repositorios con una cantidad muy alta de bifurcaciones. En open_issues, la media es 179.91 (IC 95 %: [163.18 ; 196.63]) frente a una mediana de 78 y una asimetría de 6.71. En size, la desviación estándar (769 547.30 KB) es mucho mayor que la media (136 916.26 KB) y la asimetría es 16.94, por lo que la media no es representativa del tamaño típico. Esta marcada asimetría positiva motiva el uso de transformaciones logarítmicas ln(X + 1) en los análisis posteriores.</w:t>
      </w:r>
    </w:p>
    <w:p>
      <w:pPr>
        <w:rPr>
          <w:rFonts w:ascii="Arial" w:hAnsi="Arial" w:cs="Arial"/>
        </w:rPr>
      </w:pPr>
      <w:r>
        <w:rPr>
          <w:rFonts w:ascii="Arial" w:hAnsi="Arial" w:cs="Arial"/>
        </w:rPr>
        <w:t xml:space="preserve">Variabilidad relativa: al comparar cuánto varía cada variable respecto a su media (coeficiente de variación), stars es la más estable (≈ 49 %), forks varía bastante (≈ 92 %), open_issues mucho (≈ 188 %) y size es extrema (≈ 562 %). Unos pocos repositorios muy grandes concentran los valores altos: el máximo de forks es casi 20 veces su mediana y el de open_issues, unas 76 veces la suya. Por eso la media de open_issues (179.91) no representa al repositorio típico (mediana de 78) y en el ANOVA se usa su logaritmo. Como hay repositorios con 0 incidencias abiertas, se emplea ln(X + 1) y no ln(X).</w:t>
      </w:r>
    </w:p>
    <w:p w14:paraId="1ADE8417" w14:textId="77777777" w:rsidR="00D94FC8" w:rsidRPr="00896BD7" w:rsidRDefault="00C33799">
      <w:pPr>
        <w:pStyle w:val="Ttulo1"/>
        <w:spacing w:before="200" w:after="60"/>
        <w:jc w:val="left"/>
        <w:rPr>
          <w:rFonts w:ascii="Arial" w:hAnsi="Arial" w:cs="Arial"/>
        </w:rPr>
      </w:pPr>
      <w:bookmarkStart w:id="3" w:name="_Toc202604"/>
      <w:r>
        <w:rPr>
          <w:rFonts w:ascii="Arial" w:hAnsi="Arial" w:cs="Arial"/>
          <w:color w:val="1B365D"/>
          <w:sz w:val="26"/>
        </w:rPr>
        <w:t>4. Verificación de supuestos: Normalidad y Homogeneidad de Varianzas</w:t>
      </w:r>
      <w:bookmarkEnd w:id="3"/>
    </w:p>
    <w:p w14:paraId="657E2239" w14:textId="77777777" w:rsidR="00D94FC8" w:rsidRPr="00896BD7" w:rsidRDefault="00C33799">
      <w:pPr>
        <w:rPr>
          <w:rFonts w:ascii="Arial" w:hAnsi="Arial" w:cs="Arial"/>
        </w:rPr>
      </w:pPr>
      <w:r>
        <w:rPr>
          <w:rFonts w:ascii="Arial" w:hAnsi="Arial" w:cs="Arial"/>
        </w:rPr>
        <w:t xml:space="preserve">Antes de aplicar las pruebas inferenciales se verificaron los supuestos de normalidad (Shapiro–Wilk) y homogeneidad de varianzas (Levene), conforme a las indicaciones del docente (α = 0.05). La Tabla 2 expone las pruebas de Shapiro–Wilk sobre la muestra completa y desglosadas por propietario.</w:t>
      </w:r>
    </w:p>
    <w:p w14:paraId="32F3C391" w14:textId="77777777" w:rsidR="00D94FC8" w:rsidRPr="00896BD7" w:rsidRDefault="00C33799">
      <w:pPr>
        <w:jc w:val="center"/>
        <w:rPr>
          <w:rFonts w:ascii="Arial" w:hAnsi="Arial" w:cs="Arial"/>
        </w:rPr>
      </w:pPr>
      <w:r>
        <w:rPr>
          <w:rFonts w:ascii="Arial" w:hAnsi="Arial" w:cs="Arial"/>
          <w:b/>
          <w:color w:val="1B365D"/>
          <w:sz w:val="20"/>
        </w:rPr>
        <w:t>Tabla 2. Pruebas de normalidad de Shapiro–Wilk para variables originales y transformadas.</w:t>
      </w:r>
    </w:p>
    <w:tbl>
      <w:tblPr>
        <w:tblW w:w="0" w:type="auto"/>
        <w:jc w:val="center"/>
        <w:tblLook w:val="04A0" w:firstRow="1" w:lastRow="0" w:firstColumn="1" w:lastColumn="0" w:noHBand="0" w:noVBand="1"/>
      </w:tblPr>
      <w:tblGrid>
        <w:gridCol w:w="1560"/>
        <w:gridCol w:w="1560"/>
        <w:gridCol w:w="1560"/>
        <w:gridCol w:w="1560"/>
        <w:gridCol w:w="1560"/>
        <w:gridCol w:w="1560"/>
      </w:tblGrid>
      <w:tr w:rsidR="00D94FC8" w:rsidRPr="00896BD7" w14:paraId="16D644BE" w14:textId="77777777" w:rsidTr="00896BD7">
        <w:trPr>
          <w:cantSplit/>
          <w:tblHeader/>
          <w:jc w:val="center"/>
        </w:trPr>
        <w:tc>
          <w:tcPr>
            <w:tcW w:w="1560" w:type="dxa"/>
            <w:tcBorders>
              <w:top w:val="single" w:sz="4" w:space="0" w:color="BDC3C7"/>
              <w:bottom w:val="single" w:sz="4" w:space="0" w:color="BDC3C7"/>
            </w:tcBorders>
            <w:shd w:val="clear" w:color="auto" w:fill="808080" w:themeFill="background1" w:themeFillShade="80"/>
            <w:vAlign w:val="center"/>
          </w:tcPr>
          <w:p w14:paraId="4CA269DE" w14:textId="77777777" w:rsidR="00D94FC8" w:rsidRPr="00896BD7" w:rsidRDefault="00C33799">
            <w:pPr>
              <w:jc w:val="center"/>
              <w:rPr>
                <w:rFonts w:ascii="Arial" w:hAnsi="Arial" w:cs="Arial"/>
              </w:rPr>
            </w:pPr>
            <w:r>
              <w:rPr>
                <w:rFonts w:ascii="Arial" w:hAnsi="Arial" w:cs="Arial"/>
                <w:b/>
                <w:color w:val="FFFFFF"/>
                <w:sz w:val="19"/>
              </w:rPr>
              <w:t>Variable</w:t>
            </w:r>
          </w:p>
        </w:tc>
        <w:tc>
          <w:tcPr>
            <w:tcW w:w="1560" w:type="dxa"/>
            <w:tcBorders>
              <w:top w:val="single" w:sz="4" w:space="0" w:color="BDC3C7"/>
              <w:bottom w:val="single" w:sz="4" w:space="0" w:color="BDC3C7"/>
            </w:tcBorders>
            <w:shd w:val="clear" w:color="auto" w:fill="808080" w:themeFill="background1" w:themeFillShade="80"/>
            <w:vAlign w:val="center"/>
          </w:tcPr>
          <w:p w14:paraId="0DC43B79" w14:textId="77777777" w:rsidR="00D94FC8" w:rsidRPr="00896BD7" w:rsidRDefault="00C33799">
            <w:pPr>
              <w:jc w:val="center"/>
              <w:rPr>
                <w:rFonts w:ascii="Arial" w:hAnsi="Arial" w:cs="Arial"/>
              </w:rPr>
            </w:pPr>
            <w:r>
              <w:rPr>
                <w:rFonts w:ascii="Arial" w:hAnsi="Arial" w:cs="Arial"/>
                <w:b/>
                <w:color w:val="FFFFFF"/>
                <w:sz w:val="19"/>
              </w:rPr>
              <w:t>Grupo / Muestra</w:t>
            </w:r>
          </w:p>
        </w:tc>
        <w:tc>
          <w:tcPr>
            <w:tcW w:w="1560" w:type="dxa"/>
            <w:tcBorders>
              <w:top w:val="single" w:sz="4" w:space="0" w:color="BDC3C7"/>
              <w:bottom w:val="single" w:sz="4" w:space="0" w:color="BDC3C7"/>
            </w:tcBorders>
            <w:shd w:val="clear" w:color="auto" w:fill="808080" w:themeFill="background1" w:themeFillShade="80"/>
            <w:vAlign w:val="center"/>
          </w:tcPr>
          <w:p w14:paraId="3C2A51EC" w14:textId="77777777" w:rsidR="00D94FC8" w:rsidRPr="00896BD7" w:rsidRDefault="00C33799">
            <w:pPr>
              <w:jc w:val="center"/>
              <w:rPr>
                <w:rFonts w:ascii="Arial" w:hAnsi="Arial" w:cs="Arial"/>
              </w:rPr>
            </w:pPr>
            <w:r>
              <w:rPr>
                <w:rFonts w:ascii="Arial" w:hAnsi="Arial" w:cs="Arial"/>
                <w:b/>
                <w:color w:val="FFFFFF"/>
                <w:sz w:val="19"/>
              </w:rPr>
              <w:t>N</w:t>
            </w:r>
          </w:p>
        </w:tc>
        <w:tc>
          <w:tcPr>
            <w:tcW w:w="1560" w:type="dxa"/>
            <w:tcBorders>
              <w:top w:val="single" w:sz="4" w:space="0" w:color="BDC3C7"/>
              <w:bottom w:val="single" w:sz="4" w:space="0" w:color="BDC3C7"/>
            </w:tcBorders>
            <w:shd w:val="clear" w:color="auto" w:fill="808080" w:themeFill="background1" w:themeFillShade="80"/>
            <w:vAlign w:val="center"/>
          </w:tcPr>
          <w:p w14:paraId="3E9590B8" w14:textId="77777777" w:rsidR="00D94FC8" w:rsidRPr="00896BD7" w:rsidRDefault="00C33799">
            <w:pPr>
              <w:jc w:val="center"/>
              <w:rPr>
                <w:rFonts w:ascii="Arial" w:hAnsi="Arial" w:cs="Arial"/>
              </w:rPr>
            </w:pPr>
            <w:r>
              <w:rPr>
                <w:rFonts w:ascii="Arial" w:hAnsi="Arial" w:cs="Arial"/>
                <w:b/>
                <w:color w:val="FFFFFF"/>
                <w:sz w:val="19"/>
              </w:rPr>
              <w:t>Estadístico W</w:t>
            </w:r>
          </w:p>
        </w:tc>
        <w:tc>
          <w:tcPr>
            <w:tcW w:w="1560" w:type="dxa"/>
            <w:tcBorders>
              <w:top w:val="single" w:sz="4" w:space="0" w:color="BDC3C7"/>
              <w:bottom w:val="single" w:sz="4" w:space="0" w:color="BDC3C7"/>
            </w:tcBorders>
            <w:shd w:val="clear" w:color="auto" w:fill="808080" w:themeFill="background1" w:themeFillShade="80"/>
            <w:vAlign w:val="center"/>
          </w:tcPr>
          <w:p w14:paraId="0ADDAF59" w14:textId="77777777" w:rsidR="00D94FC8" w:rsidRPr="00896BD7" w:rsidRDefault="00C33799">
            <w:pPr>
              <w:jc w:val="center"/>
              <w:rPr>
                <w:rFonts w:ascii="Arial" w:hAnsi="Arial" w:cs="Arial"/>
              </w:rPr>
            </w:pPr>
            <w:r>
              <w:rPr>
                <w:rFonts w:ascii="Arial" w:hAnsi="Arial" w:cs="Arial"/>
                <w:b/>
                <w:color w:val="FFFFFF"/>
                <w:sz w:val="19"/>
              </w:rPr>
              <w:t>p-valor</w:t>
            </w:r>
          </w:p>
        </w:tc>
        <w:tc>
          <w:tcPr>
            <w:tcW w:w="1560" w:type="dxa"/>
            <w:tcBorders>
              <w:top w:val="single" w:sz="4" w:space="0" w:color="BDC3C7"/>
              <w:bottom w:val="single" w:sz="4" w:space="0" w:color="BDC3C7"/>
            </w:tcBorders>
            <w:shd w:val="clear" w:color="auto" w:fill="808080" w:themeFill="background1" w:themeFillShade="80"/>
            <w:vAlign w:val="center"/>
          </w:tcPr>
          <w:p w14:paraId="759CAE43" w14:textId="77777777" w:rsidR="00D94FC8" w:rsidRPr="00896BD7" w:rsidRDefault="00C33799">
            <w:pPr>
              <w:jc w:val="center"/>
              <w:rPr>
                <w:rFonts w:ascii="Arial" w:hAnsi="Arial" w:cs="Arial"/>
              </w:rPr>
            </w:pPr>
            <w:r>
              <w:rPr>
                <w:rFonts w:ascii="Arial" w:hAnsi="Arial" w:cs="Arial"/>
                <w:b/>
                <w:color w:val="FFFFFF"/>
                <w:sz w:val="19"/>
              </w:rPr>
              <w:t>¿Sigue Dist. Normal? (α = 0.05)</w:t>
            </w:r>
          </w:p>
        </w:tc>
      </w:tr>
      <w:tr w:rsidR="00D94FC8" w:rsidRPr="00896BD7" w14:paraId="49BD41DC"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517DF00" w14:textId="77777777" w:rsidR="00D94FC8" w:rsidRPr="00896BD7" w:rsidRDefault="00C33799">
            <w:pPr>
              <w:jc w:val="left"/>
              <w:rPr>
                <w:rFonts w:ascii="Arial" w:hAnsi="Arial" w:cs="Arial"/>
              </w:rPr>
            </w:pPr>
            <w:r>
              <w:rPr>
                <w:rFonts w:ascii="Arial" w:hAnsi="Arial" w:cs="Arial"/>
                <w:sz w:val="18"/>
              </w:rPr>
              <w:t>Stars</w:t>
            </w:r>
          </w:p>
        </w:tc>
        <w:tc>
          <w:tcPr>
            <w:tcW w:w="1560" w:type="dxa"/>
            <w:tcBorders>
              <w:top w:val="single" w:sz="4" w:space="0" w:color="BDC3C7"/>
              <w:bottom w:val="single" w:sz="4" w:space="0" w:color="BDC3C7"/>
            </w:tcBorders>
            <w:shd w:val="clear" w:color="auto" w:fill="FFFFFF" w:themeFill="background1"/>
            <w:vAlign w:val="center"/>
          </w:tcPr>
          <w:p w14:paraId="6FD2E2C1"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08520B90"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4E925A1F" w14:textId="77777777" w:rsidR="00D94FC8" w:rsidRPr="00896BD7" w:rsidRDefault="00C33799">
            <w:pPr>
              <w:jc w:val="right"/>
              <w:rPr>
                <w:rFonts w:ascii="Arial" w:hAnsi="Arial" w:cs="Arial"/>
              </w:rPr>
            </w:pPr>
            <w:r>
              <w:rPr>
                <w:rFonts w:ascii="Arial" w:hAnsi="Arial" w:cs="Arial"/>
                <w:sz w:val="18"/>
              </w:rPr>
              <w:t>0.8989</w:t>
            </w:r>
          </w:p>
        </w:tc>
        <w:tc>
          <w:tcPr>
            <w:tcW w:w="1560" w:type="dxa"/>
            <w:tcBorders>
              <w:top w:val="single" w:sz="4" w:space="0" w:color="BDC3C7"/>
              <w:bottom w:val="single" w:sz="4" w:space="0" w:color="BDC3C7"/>
            </w:tcBorders>
            <w:shd w:val="clear" w:color="auto" w:fill="FFFFFF" w:themeFill="background1"/>
            <w:vAlign w:val="center"/>
          </w:tcPr>
          <w:p w14:paraId="5F9823B0"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A9DFB44"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3C10990E"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7C946CCF" w14:textId="77777777" w:rsidR="00D94FC8" w:rsidRPr="00896BD7" w:rsidRDefault="00C33799">
            <w:pPr>
              <w:jc w:val="left"/>
              <w:rPr>
                <w:rFonts w:ascii="Arial" w:hAnsi="Arial" w:cs="Arial"/>
              </w:rPr>
            </w:pPr>
            <w:r>
              <w:rPr>
                <w:rFonts w:ascii="Arial" w:hAnsi="Arial" w:cs="Arial"/>
                <w:sz w:val="18"/>
              </w:rPr>
              <w:t>Stars</w:t>
            </w:r>
          </w:p>
        </w:tc>
        <w:tc>
          <w:tcPr>
            <w:tcW w:w="1560" w:type="dxa"/>
            <w:tcBorders>
              <w:top w:val="single" w:sz="4" w:space="0" w:color="BDC3C7"/>
              <w:bottom w:val="single" w:sz="4" w:space="0" w:color="BDC3C7"/>
            </w:tcBorders>
            <w:shd w:val="clear" w:color="auto" w:fill="FFFFFF" w:themeFill="background1"/>
            <w:vAlign w:val="center"/>
          </w:tcPr>
          <w:p w14:paraId="651F43DF" w14:textId="77777777" w:rsidR="00D94FC8" w:rsidRPr="00896BD7" w:rsidRDefault="00C33799">
            <w:pPr>
              <w:jc w:val="right"/>
              <w:rPr>
                <w:rFonts w:ascii="Arial" w:hAnsi="Arial" w:cs="Arial"/>
              </w:rPr>
            </w:pPr>
            <w:r>
              <w:rPr>
                <w:rFonts w:ascii="Arial" w:hAnsi="Arial" w:cs="Arial"/>
                <w:sz w:val="18"/>
              </w:rPr>
              <w:t>Organization</w:t>
            </w:r>
          </w:p>
        </w:tc>
        <w:tc>
          <w:tcPr>
            <w:tcW w:w="1560" w:type="dxa"/>
            <w:tcBorders>
              <w:top w:val="single" w:sz="4" w:space="0" w:color="BDC3C7"/>
              <w:bottom w:val="single" w:sz="4" w:space="0" w:color="BDC3C7"/>
            </w:tcBorders>
            <w:shd w:val="clear" w:color="auto" w:fill="FFFFFF" w:themeFill="background1"/>
            <w:vAlign w:val="center"/>
          </w:tcPr>
          <w:p w14:paraId="7B7BB9D2" w14:textId="77777777" w:rsidR="00D94FC8" w:rsidRPr="00896BD7" w:rsidRDefault="00C33799">
            <w:pPr>
              <w:jc w:val="right"/>
              <w:rPr>
                <w:rFonts w:ascii="Arial" w:hAnsi="Arial" w:cs="Arial"/>
              </w:rPr>
            </w:pPr>
            <w:r>
              <w:rPr>
                <w:rFonts w:ascii="Arial" w:hAnsi="Arial" w:cs="Arial"/>
                <w:sz w:val="18"/>
              </w:rPr>
              <w:t>878</w:t>
            </w:r>
          </w:p>
        </w:tc>
        <w:tc>
          <w:tcPr>
            <w:tcW w:w="1560" w:type="dxa"/>
            <w:tcBorders>
              <w:top w:val="single" w:sz="4" w:space="0" w:color="BDC3C7"/>
              <w:bottom w:val="single" w:sz="4" w:space="0" w:color="BDC3C7"/>
            </w:tcBorders>
            <w:shd w:val="clear" w:color="auto" w:fill="FFFFFF" w:themeFill="background1"/>
            <w:vAlign w:val="center"/>
          </w:tcPr>
          <w:p w14:paraId="54949823" w14:textId="77777777" w:rsidR="00D94FC8" w:rsidRPr="00896BD7" w:rsidRDefault="00C33799">
            <w:pPr>
              <w:jc w:val="right"/>
              <w:rPr>
                <w:rFonts w:ascii="Arial" w:hAnsi="Arial" w:cs="Arial"/>
              </w:rPr>
            </w:pPr>
            <w:r>
              <w:rPr>
                <w:rFonts w:ascii="Arial" w:hAnsi="Arial" w:cs="Arial"/>
                <w:sz w:val="18"/>
              </w:rPr>
              <w:t>0.9076</w:t>
            </w:r>
          </w:p>
        </w:tc>
        <w:tc>
          <w:tcPr>
            <w:tcW w:w="1560" w:type="dxa"/>
            <w:tcBorders>
              <w:top w:val="single" w:sz="4" w:space="0" w:color="BDC3C7"/>
              <w:bottom w:val="single" w:sz="4" w:space="0" w:color="BDC3C7"/>
            </w:tcBorders>
            <w:shd w:val="clear" w:color="auto" w:fill="FFFFFF" w:themeFill="background1"/>
            <w:vAlign w:val="center"/>
          </w:tcPr>
          <w:p w14:paraId="639D5173"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54AA7B5"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66AA8FB7"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63CC80CE" w14:textId="77777777" w:rsidR="00D94FC8" w:rsidRPr="00896BD7" w:rsidRDefault="00C33799">
            <w:pPr>
              <w:jc w:val="left"/>
              <w:rPr>
                <w:rFonts w:ascii="Arial" w:hAnsi="Arial" w:cs="Arial"/>
              </w:rPr>
            </w:pPr>
            <w:r>
              <w:rPr>
                <w:rFonts w:ascii="Arial" w:hAnsi="Arial" w:cs="Arial"/>
                <w:sz w:val="18"/>
              </w:rPr>
              <w:lastRenderedPageBreak/>
              <w:t>Stars</w:t>
            </w:r>
          </w:p>
        </w:tc>
        <w:tc>
          <w:tcPr>
            <w:tcW w:w="1560" w:type="dxa"/>
            <w:tcBorders>
              <w:top w:val="single" w:sz="4" w:space="0" w:color="BDC3C7"/>
              <w:bottom w:val="single" w:sz="4" w:space="0" w:color="BDC3C7"/>
            </w:tcBorders>
            <w:shd w:val="clear" w:color="auto" w:fill="FFFFFF" w:themeFill="background1"/>
            <w:vAlign w:val="center"/>
          </w:tcPr>
          <w:p w14:paraId="37764D0E" w14:textId="77777777" w:rsidR="00D94FC8" w:rsidRPr="00896BD7" w:rsidRDefault="00C33799">
            <w:pPr>
              <w:jc w:val="right"/>
              <w:rPr>
                <w:rFonts w:ascii="Arial" w:hAnsi="Arial" w:cs="Arial"/>
              </w:rPr>
            </w:pPr>
            <w:r>
              <w:rPr>
                <w:rFonts w:ascii="Arial" w:hAnsi="Arial" w:cs="Arial"/>
                <w:sz w:val="18"/>
              </w:rPr>
              <w:t>User</w:t>
            </w:r>
          </w:p>
        </w:tc>
        <w:tc>
          <w:tcPr>
            <w:tcW w:w="1560" w:type="dxa"/>
            <w:tcBorders>
              <w:top w:val="single" w:sz="4" w:space="0" w:color="BDC3C7"/>
              <w:bottom w:val="single" w:sz="4" w:space="0" w:color="BDC3C7"/>
            </w:tcBorders>
            <w:shd w:val="clear" w:color="auto" w:fill="FFFFFF" w:themeFill="background1"/>
            <w:vAlign w:val="center"/>
          </w:tcPr>
          <w:p w14:paraId="5076F358" w14:textId="77777777" w:rsidR="00D94FC8" w:rsidRPr="00896BD7" w:rsidRDefault="00C33799">
            <w:pPr>
              <w:jc w:val="right"/>
              <w:rPr>
                <w:rFonts w:ascii="Arial" w:hAnsi="Arial" w:cs="Arial"/>
              </w:rPr>
            </w:pPr>
            <w:r>
              <w:rPr>
                <w:rFonts w:ascii="Arial" w:hAnsi="Arial" w:cs="Arial"/>
                <w:sz w:val="18"/>
              </w:rPr>
              <w:t>689</w:t>
            </w:r>
          </w:p>
        </w:tc>
        <w:tc>
          <w:tcPr>
            <w:tcW w:w="1560" w:type="dxa"/>
            <w:tcBorders>
              <w:top w:val="single" w:sz="4" w:space="0" w:color="BDC3C7"/>
              <w:bottom w:val="single" w:sz="4" w:space="0" w:color="BDC3C7"/>
            </w:tcBorders>
            <w:shd w:val="clear" w:color="auto" w:fill="FFFFFF" w:themeFill="background1"/>
            <w:vAlign w:val="center"/>
          </w:tcPr>
          <w:p w14:paraId="7E6247F6" w14:textId="77777777" w:rsidR="00D94FC8" w:rsidRPr="00896BD7" w:rsidRDefault="00C33799">
            <w:pPr>
              <w:jc w:val="right"/>
              <w:rPr>
                <w:rFonts w:ascii="Arial" w:hAnsi="Arial" w:cs="Arial"/>
              </w:rPr>
            </w:pPr>
            <w:r>
              <w:rPr>
                <w:rFonts w:ascii="Arial" w:hAnsi="Arial" w:cs="Arial"/>
                <w:sz w:val="18"/>
              </w:rPr>
              <w:t>0.8861</w:t>
            </w:r>
          </w:p>
        </w:tc>
        <w:tc>
          <w:tcPr>
            <w:tcW w:w="1560" w:type="dxa"/>
            <w:tcBorders>
              <w:top w:val="single" w:sz="4" w:space="0" w:color="BDC3C7"/>
              <w:bottom w:val="single" w:sz="4" w:space="0" w:color="BDC3C7"/>
            </w:tcBorders>
            <w:shd w:val="clear" w:color="auto" w:fill="FFFFFF" w:themeFill="background1"/>
            <w:vAlign w:val="center"/>
          </w:tcPr>
          <w:p w14:paraId="1B6FB622"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7AB034E"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67E7E603"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8584B27" w14:textId="77777777" w:rsidR="00D94FC8" w:rsidRPr="00896BD7" w:rsidRDefault="00C33799">
            <w:pPr>
              <w:jc w:val="left"/>
              <w:rPr>
                <w:rFonts w:ascii="Arial" w:hAnsi="Arial" w:cs="Arial"/>
              </w:rPr>
            </w:pPr>
            <w:r>
              <w:rPr>
                <w:rFonts w:ascii="Arial" w:hAnsi="Arial" w:cs="Arial"/>
                <w:sz w:val="18"/>
              </w:rPr>
              <w:t>Forks</w:t>
            </w:r>
          </w:p>
        </w:tc>
        <w:tc>
          <w:tcPr>
            <w:tcW w:w="1560" w:type="dxa"/>
            <w:tcBorders>
              <w:top w:val="single" w:sz="4" w:space="0" w:color="BDC3C7"/>
              <w:bottom w:val="single" w:sz="4" w:space="0" w:color="BDC3C7"/>
            </w:tcBorders>
            <w:shd w:val="clear" w:color="auto" w:fill="FFFFFF" w:themeFill="background1"/>
            <w:vAlign w:val="center"/>
          </w:tcPr>
          <w:p w14:paraId="2E47F1AF"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190F8A3D"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0436FA77" w14:textId="77777777" w:rsidR="00D94FC8" w:rsidRPr="00896BD7" w:rsidRDefault="00C33799">
            <w:pPr>
              <w:jc w:val="right"/>
              <w:rPr>
                <w:rFonts w:ascii="Arial" w:hAnsi="Arial" w:cs="Arial"/>
              </w:rPr>
            </w:pPr>
            <w:r>
              <w:rPr>
                <w:rFonts w:ascii="Arial" w:hAnsi="Arial" w:cs="Arial"/>
                <w:sz w:val="18"/>
              </w:rPr>
              <w:t>0.6878</w:t>
            </w:r>
          </w:p>
        </w:tc>
        <w:tc>
          <w:tcPr>
            <w:tcW w:w="1560" w:type="dxa"/>
            <w:tcBorders>
              <w:top w:val="single" w:sz="4" w:space="0" w:color="BDC3C7"/>
              <w:bottom w:val="single" w:sz="4" w:space="0" w:color="BDC3C7"/>
            </w:tcBorders>
            <w:shd w:val="clear" w:color="auto" w:fill="FFFFFF" w:themeFill="background1"/>
            <w:vAlign w:val="center"/>
          </w:tcPr>
          <w:p w14:paraId="4C33527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7EF71A6"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33223AC3"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466FF2D5" w14:textId="77777777" w:rsidR="00D94FC8" w:rsidRPr="00896BD7" w:rsidRDefault="00C33799">
            <w:pPr>
              <w:jc w:val="left"/>
              <w:rPr>
                <w:rFonts w:ascii="Arial" w:hAnsi="Arial" w:cs="Arial"/>
              </w:rPr>
            </w:pPr>
            <w:r>
              <w:rPr>
                <w:rFonts w:ascii="Arial" w:hAnsi="Arial" w:cs="Arial"/>
                <w:sz w:val="18"/>
              </w:rPr>
              <w:t>Open Issues</w:t>
            </w:r>
          </w:p>
        </w:tc>
        <w:tc>
          <w:tcPr>
            <w:tcW w:w="1560" w:type="dxa"/>
            <w:tcBorders>
              <w:top w:val="single" w:sz="4" w:space="0" w:color="BDC3C7"/>
              <w:bottom w:val="single" w:sz="4" w:space="0" w:color="BDC3C7"/>
            </w:tcBorders>
            <w:shd w:val="clear" w:color="auto" w:fill="FFFFFF" w:themeFill="background1"/>
            <w:vAlign w:val="center"/>
          </w:tcPr>
          <w:p w14:paraId="4FC3A4E1" w14:textId="77777777" w:rsidR="00D94FC8" w:rsidRPr="00896BD7" w:rsidRDefault="00C33799">
            <w:pPr>
              <w:jc w:val="right"/>
              <w:rPr>
                <w:rFonts w:ascii="Arial" w:hAnsi="Arial" w:cs="Arial"/>
              </w:rPr>
            </w:pPr>
            <w:r>
              <w:rPr>
                <w:rFonts w:ascii="Arial" w:hAnsi="Arial" w:cs="Arial"/>
                <w:sz w:val="18"/>
              </w:rPr>
              <w:t>Muestra Global</w:t>
            </w:r>
          </w:p>
        </w:tc>
        <w:tc>
          <w:tcPr>
            <w:tcW w:w="1560" w:type="dxa"/>
            <w:tcBorders>
              <w:top w:val="single" w:sz="4" w:space="0" w:color="BDC3C7"/>
              <w:bottom w:val="single" w:sz="4" w:space="0" w:color="BDC3C7"/>
            </w:tcBorders>
            <w:shd w:val="clear" w:color="auto" w:fill="FFFFFF" w:themeFill="background1"/>
            <w:vAlign w:val="center"/>
          </w:tcPr>
          <w:p w14:paraId="1F991ADD"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4FA862EE" w14:textId="77777777" w:rsidR="00D94FC8" w:rsidRPr="00896BD7" w:rsidRDefault="00C33799">
            <w:pPr>
              <w:jc w:val="right"/>
              <w:rPr>
                <w:rFonts w:ascii="Arial" w:hAnsi="Arial" w:cs="Arial"/>
              </w:rPr>
            </w:pPr>
            <w:r>
              <w:rPr>
                <w:rFonts w:ascii="Arial" w:hAnsi="Arial" w:cs="Arial"/>
                <w:sz w:val="18"/>
              </w:rPr>
              <w:t>0.4757</w:t>
            </w:r>
          </w:p>
        </w:tc>
        <w:tc>
          <w:tcPr>
            <w:tcW w:w="1560" w:type="dxa"/>
            <w:tcBorders>
              <w:top w:val="single" w:sz="4" w:space="0" w:color="BDC3C7"/>
              <w:bottom w:val="single" w:sz="4" w:space="0" w:color="BDC3C7"/>
            </w:tcBorders>
            <w:shd w:val="clear" w:color="auto" w:fill="FFFFFF" w:themeFill="background1"/>
            <w:vAlign w:val="center"/>
          </w:tcPr>
          <w:p w14:paraId="09E82BB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2AE1CA7F" w14:textId="77777777" w:rsidR="00D94FC8" w:rsidRPr="00896BD7" w:rsidRDefault="00C33799">
            <w:pPr>
              <w:jc w:val="right"/>
              <w:rPr>
                <w:rFonts w:ascii="Arial" w:hAnsi="Arial" w:cs="Arial"/>
              </w:rPr>
            </w:pPr>
            <w:r>
              <w:rPr>
                <w:rFonts w:ascii="Arial" w:hAnsi="Arial" w:cs="Arial"/>
                <w:sz w:val="18"/>
              </w:rPr>
              <w:t>No (p &lt; 0.05, Rechaza H</w:t>
            </w:r>
            <w:r>
              <w:rPr>
                <w:rFonts w:ascii="Cambria Math" w:hAnsi="Cambria Math" w:cs="Cambria Math"/>
                <w:sz w:val="18"/>
              </w:rPr>
              <w:t>₀</w:t>
            </w:r>
            <w:r>
              <w:rPr>
                <w:rFonts w:ascii="Arial" w:hAnsi="Arial" w:cs="Arial"/>
                <w:sz w:val="18"/>
              </w:rPr>
              <w:t>)</w:t>
            </w:r>
          </w:p>
        </w:tc>
      </w:tr>
      <w:tr w:rsidR="00D94FC8" w:rsidRPr="00896BD7" w14:paraId="1531D160"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43350F66" w14:textId="77777777" w:rsidR="00D94FC8" w:rsidRPr="00896BD7" w:rsidRDefault="00C33799">
            <w:pPr>
              <w:jc w:val="left"/>
              <w:rPr>
                <w:rFonts w:ascii="Arial" w:hAnsi="Arial" w:cs="Arial"/>
              </w:rPr>
            </w:pPr>
            <w:r>
              <w:rPr>
                <w:rFonts w:ascii="Arial" w:hAnsi="Arial" w:cs="Arial"/>
                <w:sz w:val="18"/>
              </w:rPr>
              <w:t>ln_forks_1</w:t>
            </w:r>
          </w:p>
        </w:tc>
        <w:tc>
          <w:tcPr>
            <w:tcW w:w="1560" w:type="dxa"/>
            <w:tcBorders>
              <w:top w:val="single" w:sz="4" w:space="0" w:color="BDC3C7"/>
              <w:bottom w:val="single" w:sz="4" w:space="0" w:color="BDC3C7"/>
            </w:tcBorders>
            <w:shd w:val="clear" w:color="auto" w:fill="FFFFFF" w:themeFill="background1"/>
            <w:vAlign w:val="center"/>
          </w:tcPr>
          <w:p w14:paraId="659C9D9C" w14:textId="77777777" w:rsidR="00D94FC8" w:rsidRPr="00896BD7" w:rsidRDefault="00C33799">
            <w:pPr>
              <w:jc w:val="right"/>
              <w:rPr>
                <w:rFonts w:ascii="Arial" w:hAnsi="Arial" w:cs="Arial"/>
              </w:rPr>
            </w:pPr>
            <w:r>
              <w:rPr>
                <w:rFonts w:ascii="Arial" w:hAnsi="Arial" w:cs="Arial"/>
                <w:sz w:val="18"/>
              </w:rPr>
              <w:t>Organization</w:t>
            </w:r>
          </w:p>
        </w:tc>
        <w:tc>
          <w:tcPr>
            <w:tcW w:w="1560" w:type="dxa"/>
            <w:tcBorders>
              <w:top w:val="single" w:sz="4" w:space="0" w:color="BDC3C7"/>
              <w:bottom w:val="single" w:sz="4" w:space="0" w:color="BDC3C7"/>
            </w:tcBorders>
            <w:shd w:val="clear" w:color="auto" w:fill="FFFFFF" w:themeFill="background1"/>
            <w:vAlign w:val="center"/>
          </w:tcPr>
          <w:p w14:paraId="4457568B" w14:textId="77777777" w:rsidR="00D94FC8" w:rsidRPr="00896BD7" w:rsidRDefault="00C33799">
            <w:pPr>
              <w:jc w:val="right"/>
              <w:rPr>
                <w:rFonts w:ascii="Arial" w:hAnsi="Arial" w:cs="Arial"/>
              </w:rPr>
            </w:pPr>
            <w:r>
              <w:rPr>
                <w:rFonts w:ascii="Arial" w:hAnsi="Arial" w:cs="Arial"/>
                <w:sz w:val="18"/>
              </w:rPr>
              <w:t>878</w:t>
            </w:r>
          </w:p>
        </w:tc>
        <w:tc>
          <w:tcPr>
            <w:tcW w:w="1560" w:type="dxa"/>
            <w:tcBorders>
              <w:top w:val="single" w:sz="4" w:space="0" w:color="BDC3C7"/>
              <w:bottom w:val="single" w:sz="4" w:space="0" w:color="BDC3C7"/>
            </w:tcBorders>
            <w:shd w:val="clear" w:color="auto" w:fill="FFFFFF" w:themeFill="background1"/>
            <w:vAlign w:val="center"/>
          </w:tcPr>
          <w:p w14:paraId="659FE969" w14:textId="77777777" w:rsidR="00D94FC8" w:rsidRPr="00896BD7" w:rsidRDefault="00C33799">
            <w:pPr>
              <w:jc w:val="right"/>
              <w:rPr>
                <w:rFonts w:ascii="Arial" w:hAnsi="Arial" w:cs="Arial"/>
              </w:rPr>
            </w:pPr>
            <w:r>
              <w:rPr>
                <w:rFonts w:ascii="Arial" w:hAnsi="Arial" w:cs="Arial"/>
                <w:sz w:val="18"/>
              </w:rPr>
              <w:t>0.9774</w:t>
            </w:r>
          </w:p>
        </w:tc>
        <w:tc>
          <w:tcPr>
            <w:tcW w:w="1560" w:type="dxa"/>
            <w:tcBorders>
              <w:top w:val="single" w:sz="4" w:space="0" w:color="BDC3C7"/>
              <w:bottom w:val="single" w:sz="4" w:space="0" w:color="BDC3C7"/>
            </w:tcBorders>
            <w:shd w:val="clear" w:color="auto" w:fill="FFFFFF" w:themeFill="background1"/>
            <w:vAlign w:val="center"/>
          </w:tcPr>
          <w:p w14:paraId="42CA55F5"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75078A9" w14:textId="77777777" w:rsidR="00D94FC8" w:rsidRPr="00896BD7" w:rsidRDefault="00C33799">
            <w:pPr>
              <w:jc w:val="right"/>
              <w:rPr>
                <w:rFonts w:ascii="Arial" w:hAnsi="Arial" w:cs="Arial"/>
              </w:rPr>
            </w:pPr>
            <w:r>
              <w:rPr>
                <w:rFonts w:ascii="Arial" w:hAnsi="Arial" w:cs="Arial"/>
                <w:sz w:val="18"/>
              </w:rPr>
              <w:t xml:space="preserve">No (se aplica el TLC)</w:t>
            </w:r>
          </w:p>
        </w:tc>
      </w:tr>
      <w:tr w:rsidR="00D94FC8" w:rsidRPr="00896BD7" w14:paraId="2CCE4CDF"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333A0B85" w14:textId="77777777" w:rsidR="00D94FC8" w:rsidRPr="00896BD7" w:rsidRDefault="00C33799">
            <w:pPr>
              <w:jc w:val="left"/>
              <w:rPr>
                <w:rFonts w:ascii="Arial" w:hAnsi="Arial" w:cs="Arial"/>
              </w:rPr>
            </w:pPr>
            <w:r>
              <w:rPr>
                <w:rFonts w:ascii="Arial" w:hAnsi="Arial" w:cs="Arial"/>
                <w:sz w:val="18"/>
              </w:rPr>
              <w:t>ln_forks_1</w:t>
            </w:r>
          </w:p>
        </w:tc>
        <w:tc>
          <w:tcPr>
            <w:tcW w:w="1560" w:type="dxa"/>
            <w:tcBorders>
              <w:top w:val="single" w:sz="4" w:space="0" w:color="BDC3C7"/>
              <w:bottom w:val="single" w:sz="4" w:space="0" w:color="BDC3C7"/>
            </w:tcBorders>
            <w:shd w:val="clear" w:color="auto" w:fill="FFFFFF" w:themeFill="background1"/>
            <w:vAlign w:val="center"/>
          </w:tcPr>
          <w:p w14:paraId="54D8B745" w14:textId="77777777" w:rsidR="00D94FC8" w:rsidRPr="00896BD7" w:rsidRDefault="00C33799">
            <w:pPr>
              <w:jc w:val="right"/>
              <w:rPr>
                <w:rFonts w:ascii="Arial" w:hAnsi="Arial" w:cs="Arial"/>
              </w:rPr>
            </w:pPr>
            <w:r>
              <w:rPr>
                <w:rFonts w:ascii="Arial" w:hAnsi="Arial" w:cs="Arial"/>
                <w:sz w:val="18"/>
              </w:rPr>
              <w:t>User</w:t>
            </w:r>
          </w:p>
        </w:tc>
        <w:tc>
          <w:tcPr>
            <w:tcW w:w="1560" w:type="dxa"/>
            <w:tcBorders>
              <w:top w:val="single" w:sz="4" w:space="0" w:color="BDC3C7"/>
              <w:bottom w:val="single" w:sz="4" w:space="0" w:color="BDC3C7"/>
            </w:tcBorders>
            <w:shd w:val="clear" w:color="auto" w:fill="FFFFFF" w:themeFill="background1"/>
            <w:vAlign w:val="center"/>
          </w:tcPr>
          <w:p w14:paraId="18FBB69F" w14:textId="77777777" w:rsidR="00D94FC8" w:rsidRPr="00896BD7" w:rsidRDefault="00C33799">
            <w:pPr>
              <w:jc w:val="right"/>
              <w:rPr>
                <w:rFonts w:ascii="Arial" w:hAnsi="Arial" w:cs="Arial"/>
              </w:rPr>
            </w:pPr>
            <w:r>
              <w:rPr>
                <w:rFonts w:ascii="Arial" w:hAnsi="Arial" w:cs="Arial"/>
                <w:sz w:val="18"/>
              </w:rPr>
              <w:t>689</w:t>
            </w:r>
          </w:p>
        </w:tc>
        <w:tc>
          <w:tcPr>
            <w:tcW w:w="1560" w:type="dxa"/>
            <w:tcBorders>
              <w:top w:val="single" w:sz="4" w:space="0" w:color="BDC3C7"/>
              <w:bottom w:val="single" w:sz="4" w:space="0" w:color="BDC3C7"/>
            </w:tcBorders>
            <w:shd w:val="clear" w:color="auto" w:fill="FFFFFF" w:themeFill="background1"/>
            <w:vAlign w:val="center"/>
          </w:tcPr>
          <w:p w14:paraId="0B99C277" w14:textId="77777777" w:rsidR="00D94FC8" w:rsidRPr="00896BD7" w:rsidRDefault="00C33799">
            <w:pPr>
              <w:jc w:val="right"/>
              <w:rPr>
                <w:rFonts w:ascii="Arial" w:hAnsi="Arial" w:cs="Arial"/>
              </w:rPr>
            </w:pPr>
            <w:r>
              <w:rPr>
                <w:rFonts w:ascii="Arial" w:hAnsi="Arial" w:cs="Arial"/>
                <w:sz w:val="18"/>
              </w:rPr>
              <w:t>0.9972</w:t>
            </w:r>
          </w:p>
        </w:tc>
        <w:tc>
          <w:tcPr>
            <w:tcW w:w="1560" w:type="dxa"/>
            <w:tcBorders>
              <w:top w:val="single" w:sz="4" w:space="0" w:color="BDC3C7"/>
              <w:bottom w:val="single" w:sz="4" w:space="0" w:color="BDC3C7"/>
            </w:tcBorders>
            <w:shd w:val="clear" w:color="auto" w:fill="FFFFFF" w:themeFill="background1"/>
            <w:vAlign w:val="center"/>
          </w:tcPr>
          <w:p w14:paraId="24C5F466" w14:textId="77777777" w:rsidR="00D94FC8" w:rsidRPr="00896BD7" w:rsidRDefault="00C33799">
            <w:pPr>
              <w:jc w:val="right"/>
              <w:rPr>
                <w:rFonts w:ascii="Arial" w:hAnsi="Arial" w:cs="Arial"/>
              </w:rPr>
            </w:pPr>
            <w:r>
              <w:rPr>
                <w:rFonts w:ascii="Arial" w:hAnsi="Arial" w:cs="Arial"/>
                <w:sz w:val="18"/>
              </w:rPr>
              <w:t>0.2974</w:t>
            </w:r>
          </w:p>
        </w:tc>
        <w:tc>
          <w:tcPr>
            <w:tcW w:w="1560" w:type="dxa"/>
            <w:tcBorders>
              <w:top w:val="single" w:sz="4" w:space="0" w:color="BDC3C7"/>
              <w:bottom w:val="single" w:sz="4" w:space="0" w:color="BDC3C7"/>
            </w:tcBorders>
            <w:shd w:val="clear" w:color="auto" w:fill="FFFFFF" w:themeFill="background1"/>
            <w:vAlign w:val="center"/>
          </w:tcPr>
          <w:p w14:paraId="593DA420" w14:textId="77777777" w:rsidR="00D94FC8" w:rsidRPr="00896BD7" w:rsidRDefault="00C33799">
            <w:pPr>
              <w:jc w:val="right"/>
              <w:rPr>
                <w:rFonts w:ascii="Arial" w:hAnsi="Arial" w:cs="Arial"/>
              </w:rPr>
            </w:pPr>
            <w:r>
              <w:rPr>
                <w:rFonts w:ascii="Arial" w:hAnsi="Arial" w:cs="Arial"/>
                <w:sz w:val="18"/>
              </w:rPr>
              <w:t>Sí (p ≥ 0.05, Acepta H</w:t>
            </w:r>
            <w:r>
              <w:rPr>
                <w:rFonts w:ascii="Cambria Math" w:hAnsi="Cambria Math" w:cs="Cambria Math"/>
                <w:sz w:val="18"/>
              </w:rPr>
              <w:t>₀</w:t>
            </w:r>
            <w:r>
              <w:rPr>
                <w:rFonts w:ascii="Arial" w:hAnsi="Arial" w:cs="Arial"/>
                <w:sz w:val="18"/>
              </w:rPr>
              <w:t>)</w:t>
            </w:r>
          </w:p>
        </w:tc>
      </w:tr>
      <w:tr w:rsidR="00D94FC8" w:rsidRPr="00896BD7" w14:paraId="2038F72F" w14:textId="77777777" w:rsidTr="00816B8E">
        <w:trPr>
          <w:cantSplit/>
          <w:jc w:val="center"/>
        </w:trPr>
        <w:tc>
          <w:tcPr>
            <w:tcW w:w="1560" w:type="dxa"/>
            <w:tcBorders>
              <w:top w:val="single" w:sz="4" w:space="0" w:color="BDC3C7"/>
              <w:bottom w:val="single" w:sz="4" w:space="0" w:color="BDC3C7"/>
            </w:tcBorders>
            <w:shd w:val="clear" w:color="auto" w:fill="FFFFFF" w:themeFill="background1"/>
            <w:vAlign w:val="center"/>
          </w:tcPr>
          <w:p w14:paraId="0167DA69" w14:textId="77777777" w:rsidR="00D94FC8" w:rsidRPr="00896BD7" w:rsidRDefault="00C33799">
            <w:pPr>
              <w:jc w:val="left"/>
              <w:rPr>
                <w:rFonts w:ascii="Arial" w:hAnsi="Arial" w:cs="Arial"/>
              </w:rPr>
            </w:pPr>
            <w:r>
              <w:rPr>
                <w:rFonts w:ascii="Arial" w:hAnsi="Arial" w:cs="Arial"/>
                <w:sz w:val="18"/>
              </w:rPr>
              <w:t>Diff (stars - forks)</w:t>
            </w:r>
          </w:p>
        </w:tc>
        <w:tc>
          <w:tcPr>
            <w:tcW w:w="1560" w:type="dxa"/>
            <w:tcBorders>
              <w:top w:val="single" w:sz="4" w:space="0" w:color="BDC3C7"/>
              <w:bottom w:val="single" w:sz="4" w:space="0" w:color="BDC3C7"/>
            </w:tcBorders>
            <w:shd w:val="clear" w:color="auto" w:fill="FFFFFF" w:themeFill="background1"/>
            <w:vAlign w:val="center"/>
          </w:tcPr>
          <w:p w14:paraId="0832A7FE" w14:textId="77777777" w:rsidR="00D94FC8" w:rsidRPr="00896BD7" w:rsidRDefault="00C33799">
            <w:pPr>
              <w:jc w:val="right"/>
              <w:rPr>
                <w:rFonts w:ascii="Arial" w:hAnsi="Arial" w:cs="Arial"/>
              </w:rPr>
            </w:pPr>
            <w:r>
              <w:rPr>
                <w:rFonts w:ascii="Arial" w:hAnsi="Arial" w:cs="Arial"/>
                <w:sz w:val="18"/>
              </w:rPr>
              <w:t>Diferencias Emparejadas</w:t>
            </w:r>
          </w:p>
        </w:tc>
        <w:tc>
          <w:tcPr>
            <w:tcW w:w="1560" w:type="dxa"/>
            <w:tcBorders>
              <w:top w:val="single" w:sz="4" w:space="0" w:color="BDC3C7"/>
              <w:bottom w:val="single" w:sz="4" w:space="0" w:color="BDC3C7"/>
            </w:tcBorders>
            <w:shd w:val="clear" w:color="auto" w:fill="FFFFFF" w:themeFill="background1"/>
            <w:vAlign w:val="center"/>
          </w:tcPr>
          <w:p w14:paraId="1A637772" w14:textId="77777777" w:rsidR="00D94FC8" w:rsidRPr="00896BD7" w:rsidRDefault="00C33799">
            <w:pPr>
              <w:jc w:val="right"/>
              <w:rPr>
                <w:rFonts w:ascii="Arial" w:hAnsi="Arial" w:cs="Arial"/>
              </w:rPr>
            </w:pPr>
            <w:r>
              <w:rPr>
                <w:rFonts w:ascii="Arial" w:hAnsi="Arial" w:cs="Arial"/>
                <w:sz w:val="18"/>
              </w:rPr>
              <w:t>1567</w:t>
            </w:r>
          </w:p>
        </w:tc>
        <w:tc>
          <w:tcPr>
            <w:tcW w:w="1560" w:type="dxa"/>
            <w:tcBorders>
              <w:top w:val="single" w:sz="4" w:space="0" w:color="BDC3C7"/>
              <w:bottom w:val="single" w:sz="4" w:space="0" w:color="BDC3C7"/>
            </w:tcBorders>
            <w:shd w:val="clear" w:color="auto" w:fill="FFFFFF" w:themeFill="background1"/>
            <w:vAlign w:val="center"/>
          </w:tcPr>
          <w:p w14:paraId="74EA09EB" w14:textId="77777777" w:rsidR="00D94FC8" w:rsidRPr="00896BD7" w:rsidRDefault="00C33799">
            <w:pPr>
              <w:jc w:val="right"/>
              <w:rPr>
                <w:rFonts w:ascii="Arial" w:hAnsi="Arial" w:cs="Arial"/>
              </w:rPr>
            </w:pPr>
            <w:r>
              <w:rPr>
                <w:rFonts w:ascii="Arial" w:hAnsi="Arial" w:cs="Arial"/>
                <w:sz w:val="18"/>
              </w:rPr>
              <w:t>0.9662</w:t>
            </w:r>
          </w:p>
        </w:tc>
        <w:tc>
          <w:tcPr>
            <w:tcW w:w="1560" w:type="dxa"/>
            <w:tcBorders>
              <w:top w:val="single" w:sz="4" w:space="0" w:color="BDC3C7"/>
              <w:bottom w:val="single" w:sz="4" w:space="0" w:color="BDC3C7"/>
            </w:tcBorders>
            <w:shd w:val="clear" w:color="auto" w:fill="FFFFFF" w:themeFill="background1"/>
            <w:vAlign w:val="center"/>
          </w:tcPr>
          <w:p w14:paraId="518B7917" w14:textId="77777777" w:rsidR="00D94FC8" w:rsidRPr="00896BD7" w:rsidRDefault="00C33799">
            <w:pPr>
              <w:jc w:val="right"/>
              <w:rPr>
                <w:rFonts w:ascii="Arial" w:hAnsi="Arial" w:cs="Arial"/>
              </w:rPr>
            </w:pPr>
            <w:r>
              <w:rPr>
                <w:rFonts w:ascii="Arial" w:hAnsi="Arial" w:cs="Arial"/>
                <w:sz w:val="18"/>
              </w:rPr>
              <w:t>&lt; 0.001</w:t>
            </w:r>
          </w:p>
        </w:tc>
        <w:tc>
          <w:tcPr>
            <w:tcW w:w="1560" w:type="dxa"/>
            <w:tcBorders>
              <w:top w:val="single" w:sz="4" w:space="0" w:color="BDC3C7"/>
              <w:bottom w:val="single" w:sz="4" w:space="0" w:color="BDC3C7"/>
            </w:tcBorders>
            <w:shd w:val="clear" w:color="auto" w:fill="FFFFFF" w:themeFill="background1"/>
            <w:vAlign w:val="center"/>
          </w:tcPr>
          <w:p w14:paraId="6EB13B33" w14:textId="77777777" w:rsidR="00D94FC8" w:rsidRPr="00896BD7" w:rsidRDefault="00C33799">
            <w:pPr>
              <w:jc w:val="right"/>
              <w:rPr>
                <w:rFonts w:ascii="Arial" w:hAnsi="Arial" w:cs="Arial"/>
              </w:rPr>
            </w:pPr>
            <w:r>
              <w:rPr>
                <w:rFonts w:ascii="Arial" w:hAnsi="Arial" w:cs="Arial"/>
                <w:sz w:val="18"/>
              </w:rPr>
              <w:t>No (se aplica el TLC)</w:t>
            </w:r>
          </w:p>
        </w:tc>
      </w:tr>
    </w:tbl>
    <w:p w14:paraId="446F9007" w14:textId="77777777" w:rsidR="00D94FC8" w:rsidRPr="00896BD7" w:rsidRDefault="00D94FC8">
      <w:pPr>
        <w:spacing w:after="80"/>
        <w:rPr>
          <w:rFonts w:ascii="Arial" w:hAnsi="Arial" w:cs="Arial"/>
        </w:rPr>
      </w:pPr>
    </w:p>
    <w:p w14:paraId="06F5411A" w14:textId="77777777" w:rsidR="00D94FC8" w:rsidRPr="00896BD7" w:rsidRDefault="00C33799">
      <w:pPr>
        <w:rPr>
          <w:rFonts w:ascii="Arial" w:hAnsi="Arial" w:cs="Arial"/>
        </w:rPr>
      </w:pPr>
      <w:r>
        <w:rPr>
          <w:rFonts w:ascii="Arial" w:hAnsi="Arial" w:cs="Arial"/>
        </w:rPr>
        <w:t xml:space="preserve">Justificación del uso de pruebas paramétricas: aunque las variables originales rechazan la normalidad (p &lt; 0.001), con muestras grandes (n = 1567 y grupos de al menos 112 repositorios) el Teorema del Límite Central (TLC) indica que la media muestral se distribuye de forma aproximadamente normal. Por eso se justifica usar las pruebas t y ANOVA.</w:t>
      </w:r>
    </w:p>
    <w:p>
      <w:pPr>
        <w:rPr>
          <w:rFonts w:ascii="Arial" w:hAnsi="Arial" w:cs="Arial"/>
        </w:rPr>
      </w:pPr>
      <w:r>
        <w:rPr>
          <w:rFonts w:ascii="Arial" w:hAnsi="Arial" w:cs="Arial"/>
        </w:rPr>
        <w:t xml:space="preserve">Lectura de la Tabla 2: en las variables originales la normalidad se rechaza siempre, sobre todo en open_issues (W = 0.4757) y forks (W = 0.6878), que son muy asimétricas. Tras aplicar el logaritmo, W sube a valores cercanos a 1 (entre 0.9662 y 0.9972), es decir, los datos se parecen mucho más a una normal. Solo User en ln_forks_1 (p = 0.2974) y GPL-3.0 en ln_open_issues_1 (p = 0.0930) no rechazan la normalidad; en los demás grupos, al ser muestras grandes, Shapiro–Wilk detecta desviaciones muy pequeñas que en la práctica no afectan a t ni a ANOVA. Como limitación, no se aplicaron pruebas no paramétricas de respaldo (Mann–Whitney, Wilcoxon y Kruskal–Wallis); con W cercanos a 1 es razonable esperar decisiones similares, pero no se verificó.</w:t>
      </w:r>
    </w:p>
    <w:p w14:paraId="09CF2CC9" w14:textId="77777777" w:rsidR="00D94FC8" w:rsidRPr="00896BD7" w:rsidRDefault="00C33799">
      <w:pPr>
        <w:jc w:val="center"/>
        <w:rPr>
          <w:rFonts w:ascii="Arial" w:hAnsi="Arial" w:cs="Arial"/>
        </w:rPr>
      </w:pPr>
      <w:r>
        <w:rPr>
          <w:rFonts w:ascii="Arial" w:hAnsi="Arial" w:cs="Arial"/>
          <w:b/>
          <w:color w:val="1B365D"/>
          <w:sz w:val="20"/>
        </w:rPr>
        <w:t>Tabla 3. Pruebas de homogeneidad de varianzas de Levene (Organization vs. User).</w:t>
      </w:r>
    </w:p>
    <w:tbl>
      <w:tblPr>
        <w:tblW w:w="0" w:type="auto"/>
        <w:jc w:val="center"/>
        <w:tblLook w:val="04A0" w:firstRow="1" w:lastRow="0" w:firstColumn="1" w:lastColumn="0" w:noHBand="0" w:noVBand="1"/>
      </w:tblPr>
      <w:tblGrid>
        <w:gridCol w:w="1264"/>
        <w:gridCol w:w="1310"/>
        <w:gridCol w:w="1126"/>
        <w:gridCol w:w="1157"/>
        <w:gridCol w:w="1195"/>
        <w:gridCol w:w="1877"/>
        <w:gridCol w:w="1431"/>
      </w:tblGrid>
      <w:tr w:rsidR="00D94FC8" w:rsidRPr="00896BD7" w14:paraId="6E078D7D" w14:textId="77777777" w:rsidTr="00896BD7">
        <w:trPr>
          <w:cantSplit/>
          <w:tblHeader/>
          <w:jc w:val="center"/>
        </w:trPr>
        <w:tc>
          <w:tcPr>
            <w:tcW w:w="1337" w:type="dxa"/>
            <w:tcBorders>
              <w:top w:val="single" w:sz="4" w:space="0" w:color="BDC3C7"/>
              <w:bottom w:val="single" w:sz="4" w:space="0" w:color="BDC3C7"/>
            </w:tcBorders>
            <w:shd w:val="clear" w:color="auto" w:fill="808080" w:themeFill="background1" w:themeFillShade="80"/>
            <w:vAlign w:val="center"/>
          </w:tcPr>
          <w:p w14:paraId="6BF5C02E" w14:textId="77777777" w:rsidR="00D94FC8" w:rsidRPr="00896BD7" w:rsidRDefault="00C33799">
            <w:pPr>
              <w:jc w:val="center"/>
              <w:rPr>
                <w:rFonts w:ascii="Arial" w:hAnsi="Arial" w:cs="Arial"/>
              </w:rPr>
            </w:pPr>
            <w:r>
              <w:rPr>
                <w:rFonts w:ascii="Arial" w:hAnsi="Arial" w:cs="Arial"/>
                <w:b/>
                <w:color w:val="FFFFFF"/>
                <w:sz w:val="19"/>
              </w:rPr>
              <w:t>Variable</w:t>
            </w:r>
          </w:p>
        </w:tc>
        <w:tc>
          <w:tcPr>
            <w:tcW w:w="1337" w:type="dxa"/>
            <w:tcBorders>
              <w:top w:val="single" w:sz="4" w:space="0" w:color="BDC3C7"/>
              <w:bottom w:val="single" w:sz="4" w:space="0" w:color="BDC3C7"/>
            </w:tcBorders>
            <w:shd w:val="clear" w:color="auto" w:fill="808080" w:themeFill="background1" w:themeFillShade="80"/>
            <w:vAlign w:val="center"/>
          </w:tcPr>
          <w:p w14:paraId="4DDAA882" w14:textId="77777777" w:rsidR="00D94FC8" w:rsidRPr="00896BD7" w:rsidRDefault="00C33799">
            <w:pPr>
              <w:jc w:val="center"/>
              <w:rPr>
                <w:rFonts w:ascii="Arial" w:hAnsi="Arial" w:cs="Arial"/>
              </w:rPr>
            </w:pPr>
            <w:r>
              <w:rPr>
                <w:rFonts w:ascii="Arial" w:hAnsi="Arial" w:cs="Arial"/>
                <w:b/>
                <w:color w:val="FFFFFF"/>
                <w:sz w:val="19"/>
              </w:rPr>
              <w:t>Estadístico Levene (F)</w:t>
            </w:r>
          </w:p>
        </w:tc>
        <w:tc>
          <w:tcPr>
            <w:tcW w:w="1337" w:type="dxa"/>
            <w:tcBorders>
              <w:top w:val="single" w:sz="4" w:space="0" w:color="BDC3C7"/>
              <w:bottom w:val="single" w:sz="4" w:space="0" w:color="BDC3C7"/>
            </w:tcBorders>
            <w:shd w:val="clear" w:color="auto" w:fill="808080" w:themeFill="background1" w:themeFillShade="80"/>
            <w:vAlign w:val="center"/>
          </w:tcPr>
          <w:p w14:paraId="587F708C" w14:textId="77777777" w:rsidR="00D94FC8" w:rsidRPr="00896BD7" w:rsidRDefault="00C33799">
            <w:pPr>
              <w:jc w:val="center"/>
              <w:rPr>
                <w:rFonts w:ascii="Arial" w:hAnsi="Arial" w:cs="Arial"/>
              </w:rPr>
            </w:pPr>
            <w:r>
              <w:rPr>
                <w:rFonts w:ascii="Arial" w:hAnsi="Arial" w:cs="Arial"/>
                <w:b/>
                <w:color w:val="FFFFFF"/>
                <w:sz w:val="19"/>
              </w:rPr>
              <w:t>gl1</w:t>
            </w:r>
          </w:p>
        </w:tc>
        <w:tc>
          <w:tcPr>
            <w:tcW w:w="1337" w:type="dxa"/>
            <w:tcBorders>
              <w:top w:val="single" w:sz="4" w:space="0" w:color="BDC3C7"/>
              <w:bottom w:val="single" w:sz="4" w:space="0" w:color="BDC3C7"/>
            </w:tcBorders>
            <w:shd w:val="clear" w:color="auto" w:fill="808080" w:themeFill="background1" w:themeFillShade="80"/>
            <w:vAlign w:val="center"/>
          </w:tcPr>
          <w:p w14:paraId="2C0D8539" w14:textId="77777777" w:rsidR="00D94FC8" w:rsidRPr="00896BD7" w:rsidRDefault="00C33799">
            <w:pPr>
              <w:jc w:val="center"/>
              <w:rPr>
                <w:rFonts w:ascii="Arial" w:hAnsi="Arial" w:cs="Arial"/>
              </w:rPr>
            </w:pPr>
            <w:r>
              <w:rPr>
                <w:rFonts w:ascii="Arial" w:hAnsi="Arial" w:cs="Arial"/>
                <w:b/>
                <w:color w:val="FFFFFF"/>
                <w:sz w:val="19"/>
              </w:rPr>
              <w:t>gl2</w:t>
            </w:r>
          </w:p>
        </w:tc>
        <w:tc>
          <w:tcPr>
            <w:tcW w:w="1337" w:type="dxa"/>
            <w:tcBorders>
              <w:top w:val="single" w:sz="4" w:space="0" w:color="BDC3C7"/>
              <w:bottom w:val="single" w:sz="4" w:space="0" w:color="BDC3C7"/>
            </w:tcBorders>
            <w:shd w:val="clear" w:color="auto" w:fill="808080" w:themeFill="background1" w:themeFillShade="80"/>
            <w:vAlign w:val="center"/>
          </w:tcPr>
          <w:p w14:paraId="1DBCB7CC" w14:textId="77777777" w:rsidR="00D94FC8" w:rsidRPr="00896BD7" w:rsidRDefault="00C33799">
            <w:pPr>
              <w:jc w:val="center"/>
              <w:rPr>
                <w:rFonts w:ascii="Arial" w:hAnsi="Arial" w:cs="Arial"/>
              </w:rPr>
            </w:pPr>
            <w:r>
              <w:rPr>
                <w:rFonts w:ascii="Arial" w:hAnsi="Arial" w:cs="Arial"/>
                <w:b/>
                <w:color w:val="FFFFFF"/>
                <w:sz w:val="19"/>
              </w:rPr>
              <w:t>p-valor</w:t>
            </w:r>
          </w:p>
        </w:tc>
        <w:tc>
          <w:tcPr>
            <w:tcW w:w="1337" w:type="dxa"/>
            <w:tcBorders>
              <w:top w:val="single" w:sz="4" w:space="0" w:color="BDC3C7"/>
              <w:bottom w:val="single" w:sz="4" w:space="0" w:color="BDC3C7"/>
            </w:tcBorders>
            <w:shd w:val="clear" w:color="auto" w:fill="808080" w:themeFill="background1" w:themeFillShade="80"/>
            <w:vAlign w:val="center"/>
          </w:tcPr>
          <w:p w14:paraId="6BE3C9A6" w14:textId="77777777" w:rsidR="00D94FC8" w:rsidRPr="00896BD7" w:rsidRDefault="00C33799">
            <w:pPr>
              <w:jc w:val="center"/>
              <w:rPr>
                <w:rFonts w:ascii="Arial" w:hAnsi="Arial" w:cs="Arial"/>
              </w:rPr>
            </w:pPr>
            <w:r>
              <w:rPr>
                <w:rFonts w:ascii="Arial" w:hAnsi="Arial" w:cs="Arial"/>
                <w:b/>
                <w:color w:val="FFFFFF"/>
                <w:sz w:val="19"/>
              </w:rPr>
              <w:t xml:space="preserve">¿Varianzas Homogéneas?</w:t>
            </w:r>
          </w:p>
        </w:tc>
        <w:tc>
          <w:tcPr>
            <w:tcW w:w="1337" w:type="dxa"/>
            <w:tcBorders>
              <w:top w:val="single" w:sz="4" w:space="0" w:color="BDC3C7"/>
              <w:bottom w:val="single" w:sz="4" w:space="0" w:color="BDC3C7"/>
            </w:tcBorders>
            <w:shd w:val="clear" w:color="auto" w:fill="808080" w:themeFill="background1" w:themeFillShade="80"/>
            <w:vAlign w:val="center"/>
          </w:tcPr>
          <w:p w14:paraId="1CBBDC85" w14:textId="77777777" w:rsidR="00D94FC8" w:rsidRPr="00896BD7" w:rsidRDefault="00C33799">
            <w:pPr>
              <w:jc w:val="center"/>
              <w:rPr>
                <w:rFonts w:ascii="Arial" w:hAnsi="Arial" w:cs="Arial"/>
              </w:rPr>
            </w:pPr>
            <w:r>
              <w:rPr>
                <w:rFonts w:ascii="Arial" w:hAnsi="Arial" w:cs="Arial"/>
                <w:b/>
                <w:color w:val="FFFFFF"/>
                <w:sz w:val="19"/>
              </w:rPr>
              <w:t>Prueba Seleccionada</w:t>
            </w:r>
          </w:p>
        </w:tc>
      </w:tr>
      <w:tr w:rsidR="00D94FC8" w:rsidRPr="00896BD7" w14:paraId="75B72235"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32CBF6F0" w14:textId="77777777" w:rsidR="00D94FC8" w:rsidRPr="00896BD7" w:rsidRDefault="00C33799">
            <w:pPr>
              <w:jc w:val="left"/>
              <w:rPr>
                <w:rFonts w:ascii="Arial" w:hAnsi="Arial" w:cs="Arial"/>
              </w:rPr>
            </w:pPr>
            <w:r>
              <w:rPr>
                <w:rFonts w:ascii="Arial" w:hAnsi="Arial" w:cs="Arial"/>
                <w:sz w:val="18"/>
              </w:rPr>
              <w:t>Stars</w:t>
            </w:r>
          </w:p>
        </w:tc>
        <w:tc>
          <w:tcPr>
            <w:tcW w:w="1337" w:type="dxa"/>
            <w:tcBorders>
              <w:top w:val="single" w:sz="4" w:space="0" w:color="BDC3C7"/>
              <w:bottom w:val="single" w:sz="4" w:space="0" w:color="BDC3C7"/>
            </w:tcBorders>
            <w:shd w:val="clear" w:color="auto" w:fill="FFFFFF" w:themeFill="background1"/>
            <w:vAlign w:val="center"/>
          </w:tcPr>
          <w:p w14:paraId="55CD18D9" w14:textId="77777777" w:rsidR="00D94FC8" w:rsidRPr="00896BD7" w:rsidRDefault="00C33799">
            <w:pPr>
              <w:jc w:val="right"/>
              <w:rPr>
                <w:rFonts w:ascii="Arial" w:hAnsi="Arial" w:cs="Arial"/>
              </w:rPr>
            </w:pPr>
            <w:r>
              <w:rPr>
                <w:rFonts w:ascii="Arial" w:hAnsi="Arial" w:cs="Arial"/>
                <w:sz w:val="18"/>
              </w:rPr>
              <w:t>3.885</w:t>
            </w:r>
          </w:p>
        </w:tc>
        <w:tc>
          <w:tcPr>
            <w:tcW w:w="1337" w:type="dxa"/>
            <w:tcBorders>
              <w:top w:val="single" w:sz="4" w:space="0" w:color="BDC3C7"/>
              <w:bottom w:val="single" w:sz="4" w:space="0" w:color="BDC3C7"/>
            </w:tcBorders>
            <w:shd w:val="clear" w:color="auto" w:fill="FFFFFF" w:themeFill="background1"/>
            <w:vAlign w:val="center"/>
          </w:tcPr>
          <w:p w14:paraId="383F177F"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677534BB"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1674E2B9" w14:textId="77777777" w:rsidR="00D94FC8" w:rsidRPr="00896BD7" w:rsidRDefault="00C33799">
            <w:pPr>
              <w:jc w:val="right"/>
              <w:rPr>
                <w:rFonts w:ascii="Arial" w:hAnsi="Arial" w:cs="Arial"/>
              </w:rPr>
            </w:pPr>
            <w:r>
              <w:rPr>
                <w:rFonts w:ascii="Arial" w:hAnsi="Arial" w:cs="Arial"/>
                <w:sz w:val="18"/>
              </w:rPr>
              <w:t>0.0489</w:t>
            </w:r>
          </w:p>
        </w:tc>
        <w:tc>
          <w:tcPr>
            <w:tcW w:w="1337" w:type="dxa"/>
            <w:tcBorders>
              <w:top w:val="single" w:sz="4" w:space="0" w:color="BDC3C7"/>
              <w:bottom w:val="single" w:sz="4" w:space="0" w:color="BDC3C7"/>
            </w:tcBorders>
            <w:shd w:val="clear" w:color="auto" w:fill="FFFFFF" w:themeFill="background1"/>
            <w:vAlign w:val="center"/>
          </w:tcPr>
          <w:p w14:paraId="1D2A7F31"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025E462F"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06BD1094"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0DA840BF" w14:textId="77777777" w:rsidR="00D94FC8" w:rsidRPr="00896BD7" w:rsidRDefault="00C33799">
            <w:pPr>
              <w:jc w:val="left"/>
              <w:rPr>
                <w:rFonts w:ascii="Arial" w:hAnsi="Arial" w:cs="Arial"/>
              </w:rPr>
            </w:pPr>
            <w:r>
              <w:rPr>
                <w:rFonts w:ascii="Arial" w:hAnsi="Arial" w:cs="Arial"/>
                <w:sz w:val="18"/>
              </w:rPr>
              <w:t>Forks</w:t>
            </w:r>
          </w:p>
        </w:tc>
        <w:tc>
          <w:tcPr>
            <w:tcW w:w="1337" w:type="dxa"/>
            <w:tcBorders>
              <w:top w:val="single" w:sz="4" w:space="0" w:color="BDC3C7"/>
              <w:bottom w:val="single" w:sz="4" w:space="0" w:color="BDC3C7"/>
            </w:tcBorders>
            <w:shd w:val="clear" w:color="auto" w:fill="FFFFFF" w:themeFill="background1"/>
            <w:vAlign w:val="center"/>
          </w:tcPr>
          <w:p w14:paraId="0AC8A2C0" w14:textId="77777777" w:rsidR="00D94FC8" w:rsidRPr="00896BD7" w:rsidRDefault="00C33799">
            <w:pPr>
              <w:jc w:val="right"/>
              <w:rPr>
                <w:rFonts w:ascii="Arial" w:hAnsi="Arial" w:cs="Arial"/>
              </w:rPr>
            </w:pPr>
            <w:r>
              <w:rPr>
                <w:rFonts w:ascii="Arial" w:hAnsi="Arial" w:cs="Arial"/>
                <w:sz w:val="18"/>
              </w:rPr>
              <w:t>3.068</w:t>
            </w:r>
          </w:p>
        </w:tc>
        <w:tc>
          <w:tcPr>
            <w:tcW w:w="1337" w:type="dxa"/>
            <w:tcBorders>
              <w:top w:val="single" w:sz="4" w:space="0" w:color="BDC3C7"/>
              <w:bottom w:val="single" w:sz="4" w:space="0" w:color="BDC3C7"/>
            </w:tcBorders>
            <w:shd w:val="clear" w:color="auto" w:fill="FFFFFF" w:themeFill="background1"/>
            <w:vAlign w:val="center"/>
          </w:tcPr>
          <w:p w14:paraId="4E185E8A"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17EFB637"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622E2CE7" w14:textId="77777777" w:rsidR="00D94FC8" w:rsidRPr="00896BD7" w:rsidRDefault="00C33799">
            <w:pPr>
              <w:jc w:val="right"/>
              <w:rPr>
                <w:rFonts w:ascii="Arial" w:hAnsi="Arial" w:cs="Arial"/>
              </w:rPr>
            </w:pPr>
            <w:r>
              <w:rPr>
                <w:rFonts w:ascii="Arial" w:hAnsi="Arial" w:cs="Arial"/>
                <w:sz w:val="18"/>
              </w:rPr>
              <w:t>0.0801</w:t>
            </w:r>
          </w:p>
        </w:tc>
        <w:tc>
          <w:tcPr>
            <w:tcW w:w="1337" w:type="dxa"/>
            <w:tcBorders>
              <w:top w:val="single" w:sz="4" w:space="0" w:color="BDC3C7"/>
              <w:bottom w:val="single" w:sz="4" w:space="0" w:color="BDC3C7"/>
            </w:tcBorders>
            <w:shd w:val="clear" w:color="auto" w:fill="FFFFFF" w:themeFill="background1"/>
            <w:vAlign w:val="center"/>
          </w:tcPr>
          <w:p w14:paraId="207D7A5A" w14:textId="77777777" w:rsidR="00D94FC8" w:rsidRPr="00896BD7" w:rsidRDefault="00C33799">
            <w:pPr>
              <w:jc w:val="right"/>
              <w:rPr>
                <w:rFonts w:ascii="Arial" w:hAnsi="Arial" w:cs="Arial"/>
              </w:rPr>
            </w:pPr>
            <w:r>
              <w:rPr>
                <w:rFonts w:ascii="Arial" w:hAnsi="Arial" w:cs="Arial"/>
                <w:sz w:val="18"/>
              </w:rPr>
              <w:t>Sí (Homocedasticidad)</w:t>
            </w:r>
          </w:p>
        </w:tc>
        <w:tc>
          <w:tcPr>
            <w:tcW w:w="1337" w:type="dxa"/>
            <w:tcBorders>
              <w:top w:val="single" w:sz="4" w:space="0" w:color="BDC3C7"/>
              <w:bottom w:val="single" w:sz="4" w:space="0" w:color="BDC3C7"/>
            </w:tcBorders>
            <w:shd w:val="clear" w:color="auto" w:fill="FFFFFF" w:themeFill="background1"/>
            <w:vAlign w:val="center"/>
          </w:tcPr>
          <w:p w14:paraId="08CB9FC5" w14:textId="77777777" w:rsidR="00D94FC8" w:rsidRPr="00896BD7" w:rsidRDefault="00C33799">
            <w:pPr>
              <w:jc w:val="right"/>
              <w:rPr>
                <w:rFonts w:ascii="Arial" w:hAnsi="Arial" w:cs="Arial"/>
              </w:rPr>
            </w:pPr>
            <w:r>
              <w:rPr>
                <w:rFonts w:ascii="Arial" w:hAnsi="Arial" w:cs="Arial"/>
                <w:sz w:val="18"/>
              </w:rPr>
              <w:t>t de Student</w:t>
            </w:r>
          </w:p>
        </w:tc>
      </w:tr>
      <w:tr w:rsidR="00D94FC8" w:rsidRPr="00896BD7" w14:paraId="3514128F"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1E31A03C" w14:textId="77777777" w:rsidR="00D94FC8" w:rsidRPr="00896BD7" w:rsidRDefault="00C33799">
            <w:pPr>
              <w:jc w:val="left"/>
              <w:rPr>
                <w:rFonts w:ascii="Arial" w:hAnsi="Arial" w:cs="Arial"/>
              </w:rPr>
            </w:pPr>
            <w:r>
              <w:rPr>
                <w:rFonts w:ascii="Arial" w:hAnsi="Arial" w:cs="Arial"/>
                <w:sz w:val="18"/>
              </w:rPr>
              <w:t>ln_forks_1</w:t>
            </w:r>
          </w:p>
        </w:tc>
        <w:tc>
          <w:tcPr>
            <w:tcW w:w="1337" w:type="dxa"/>
            <w:tcBorders>
              <w:top w:val="single" w:sz="4" w:space="0" w:color="BDC3C7"/>
              <w:bottom w:val="single" w:sz="4" w:space="0" w:color="BDC3C7"/>
            </w:tcBorders>
            <w:shd w:val="clear" w:color="auto" w:fill="FFFFFF" w:themeFill="background1"/>
            <w:vAlign w:val="center"/>
          </w:tcPr>
          <w:p w14:paraId="70DCE68D" w14:textId="77777777" w:rsidR="00D94FC8" w:rsidRPr="00896BD7" w:rsidRDefault="00C33799">
            <w:pPr>
              <w:jc w:val="right"/>
              <w:rPr>
                <w:rFonts w:ascii="Arial" w:hAnsi="Arial" w:cs="Arial"/>
              </w:rPr>
            </w:pPr>
            <w:r>
              <w:rPr>
                <w:rFonts w:ascii="Arial" w:hAnsi="Arial" w:cs="Arial"/>
                <w:sz w:val="18"/>
              </w:rPr>
              <w:t>7.352</w:t>
            </w:r>
          </w:p>
        </w:tc>
        <w:tc>
          <w:tcPr>
            <w:tcW w:w="1337" w:type="dxa"/>
            <w:tcBorders>
              <w:top w:val="single" w:sz="4" w:space="0" w:color="BDC3C7"/>
              <w:bottom w:val="single" w:sz="4" w:space="0" w:color="BDC3C7"/>
            </w:tcBorders>
            <w:shd w:val="clear" w:color="auto" w:fill="FFFFFF" w:themeFill="background1"/>
            <w:vAlign w:val="center"/>
          </w:tcPr>
          <w:p w14:paraId="6585975F"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510D03EF"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7B5CBB4B" w14:textId="77777777" w:rsidR="00D94FC8" w:rsidRPr="00896BD7" w:rsidRDefault="00C33799">
            <w:pPr>
              <w:jc w:val="right"/>
              <w:rPr>
                <w:rFonts w:ascii="Arial" w:hAnsi="Arial" w:cs="Arial"/>
              </w:rPr>
            </w:pPr>
            <w:r>
              <w:rPr>
                <w:rFonts w:ascii="Arial" w:hAnsi="Arial" w:cs="Arial"/>
                <w:sz w:val="18"/>
              </w:rPr>
              <w:t>0.0070</w:t>
            </w:r>
          </w:p>
        </w:tc>
        <w:tc>
          <w:tcPr>
            <w:tcW w:w="1337" w:type="dxa"/>
            <w:tcBorders>
              <w:top w:val="single" w:sz="4" w:space="0" w:color="BDC3C7"/>
              <w:bottom w:val="single" w:sz="4" w:space="0" w:color="BDC3C7"/>
            </w:tcBorders>
            <w:shd w:val="clear" w:color="auto" w:fill="FFFFFF" w:themeFill="background1"/>
            <w:vAlign w:val="center"/>
          </w:tcPr>
          <w:p w14:paraId="2F8A136C"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5F17F4B8"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234732CD"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5E18B803" w14:textId="77777777" w:rsidR="00D94FC8" w:rsidRPr="00896BD7" w:rsidRDefault="00C33799">
            <w:pPr>
              <w:jc w:val="left"/>
              <w:rPr>
                <w:rFonts w:ascii="Arial" w:hAnsi="Arial" w:cs="Arial"/>
              </w:rPr>
            </w:pPr>
            <w:r>
              <w:rPr>
                <w:rFonts w:ascii="Arial" w:hAnsi="Arial" w:cs="Arial"/>
                <w:sz w:val="18"/>
              </w:rPr>
              <w:t>Open Issues</w:t>
            </w:r>
          </w:p>
        </w:tc>
        <w:tc>
          <w:tcPr>
            <w:tcW w:w="1337" w:type="dxa"/>
            <w:tcBorders>
              <w:top w:val="single" w:sz="4" w:space="0" w:color="BDC3C7"/>
              <w:bottom w:val="single" w:sz="4" w:space="0" w:color="BDC3C7"/>
            </w:tcBorders>
            <w:shd w:val="clear" w:color="auto" w:fill="FFFFFF" w:themeFill="background1"/>
            <w:vAlign w:val="center"/>
          </w:tcPr>
          <w:p w14:paraId="7558308A" w14:textId="77777777" w:rsidR="00D94FC8" w:rsidRPr="00896BD7" w:rsidRDefault="00C33799">
            <w:pPr>
              <w:jc w:val="right"/>
              <w:rPr>
                <w:rFonts w:ascii="Arial" w:hAnsi="Arial" w:cs="Arial"/>
              </w:rPr>
            </w:pPr>
            <w:r>
              <w:rPr>
                <w:rFonts w:ascii="Arial" w:hAnsi="Arial" w:cs="Arial"/>
                <w:sz w:val="18"/>
              </w:rPr>
              <w:t>40.191</w:t>
            </w:r>
          </w:p>
        </w:tc>
        <w:tc>
          <w:tcPr>
            <w:tcW w:w="1337" w:type="dxa"/>
            <w:tcBorders>
              <w:top w:val="single" w:sz="4" w:space="0" w:color="BDC3C7"/>
              <w:bottom w:val="single" w:sz="4" w:space="0" w:color="BDC3C7"/>
            </w:tcBorders>
            <w:shd w:val="clear" w:color="auto" w:fill="FFFFFF" w:themeFill="background1"/>
            <w:vAlign w:val="center"/>
          </w:tcPr>
          <w:p w14:paraId="534B1C16"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03815EDF"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1521538D" w14:textId="77777777" w:rsidR="00D94FC8" w:rsidRPr="00896BD7" w:rsidRDefault="00C33799">
            <w:pPr>
              <w:jc w:val="right"/>
              <w:rPr>
                <w:rFonts w:ascii="Arial" w:hAnsi="Arial" w:cs="Arial"/>
              </w:rPr>
            </w:pPr>
            <w:r>
              <w:rPr>
                <w:rFonts w:ascii="Arial" w:hAnsi="Arial" w:cs="Arial"/>
                <w:sz w:val="18"/>
              </w:rPr>
              <w:t xml:space="preserve">&lt; 0.001</w:t>
            </w:r>
          </w:p>
        </w:tc>
        <w:tc>
          <w:tcPr>
            <w:tcW w:w="1337" w:type="dxa"/>
            <w:tcBorders>
              <w:top w:val="single" w:sz="4" w:space="0" w:color="BDC3C7"/>
              <w:bottom w:val="single" w:sz="4" w:space="0" w:color="BDC3C7"/>
            </w:tcBorders>
            <w:shd w:val="clear" w:color="auto" w:fill="FFFFFF" w:themeFill="background1"/>
            <w:vAlign w:val="center"/>
          </w:tcPr>
          <w:p w14:paraId="3A8F0717" w14:textId="77777777" w:rsidR="00D94FC8" w:rsidRPr="00896BD7" w:rsidRDefault="00C33799">
            <w:pPr>
              <w:jc w:val="right"/>
              <w:rPr>
                <w:rFonts w:ascii="Arial" w:hAnsi="Arial" w:cs="Arial"/>
              </w:rPr>
            </w:pPr>
            <w:r>
              <w:rPr>
                <w:rFonts w:ascii="Arial" w:hAnsi="Arial" w:cs="Arial"/>
                <w:sz w:val="18"/>
              </w:rPr>
              <w:t>No (Heterocedasticidad)</w:t>
            </w:r>
          </w:p>
        </w:tc>
        <w:tc>
          <w:tcPr>
            <w:tcW w:w="1337" w:type="dxa"/>
            <w:tcBorders>
              <w:top w:val="single" w:sz="4" w:space="0" w:color="BDC3C7"/>
              <w:bottom w:val="single" w:sz="4" w:space="0" w:color="BDC3C7"/>
            </w:tcBorders>
            <w:shd w:val="clear" w:color="auto" w:fill="FFFFFF" w:themeFill="background1"/>
            <w:vAlign w:val="center"/>
          </w:tcPr>
          <w:p w14:paraId="1C0FC00B" w14:textId="77777777" w:rsidR="00D94FC8" w:rsidRPr="00896BD7" w:rsidRDefault="00C33799">
            <w:pPr>
              <w:jc w:val="right"/>
              <w:rPr>
                <w:rFonts w:ascii="Arial" w:hAnsi="Arial" w:cs="Arial"/>
              </w:rPr>
            </w:pPr>
            <w:r>
              <w:rPr>
                <w:rFonts w:ascii="Arial" w:hAnsi="Arial" w:cs="Arial"/>
                <w:sz w:val="18"/>
              </w:rPr>
              <w:t>t de Welch</w:t>
            </w:r>
          </w:p>
        </w:tc>
      </w:tr>
      <w:tr w:rsidR="00D94FC8" w:rsidRPr="00896BD7" w14:paraId="16FF6377" w14:textId="77777777" w:rsidTr="00816B8E">
        <w:trPr>
          <w:cantSplit/>
          <w:jc w:val="center"/>
        </w:trPr>
        <w:tc>
          <w:tcPr>
            <w:tcW w:w="1337" w:type="dxa"/>
            <w:tcBorders>
              <w:top w:val="single" w:sz="4" w:space="0" w:color="BDC3C7"/>
              <w:bottom w:val="single" w:sz="4" w:space="0" w:color="BDC3C7"/>
            </w:tcBorders>
            <w:shd w:val="clear" w:color="auto" w:fill="FFFFFF" w:themeFill="background1"/>
            <w:vAlign w:val="center"/>
          </w:tcPr>
          <w:p w14:paraId="7D749CEA" w14:textId="77777777" w:rsidR="00D94FC8" w:rsidRPr="00896BD7" w:rsidRDefault="00C33799">
            <w:pPr>
              <w:jc w:val="left"/>
              <w:rPr>
                <w:rFonts w:ascii="Arial" w:hAnsi="Arial" w:cs="Arial"/>
              </w:rPr>
            </w:pPr>
            <w:r>
              <w:rPr>
                <w:rFonts w:ascii="Arial" w:hAnsi="Arial" w:cs="Arial"/>
                <w:sz w:val="18"/>
              </w:rPr>
              <w:t>Size (KB)</w:t>
            </w:r>
          </w:p>
        </w:tc>
        <w:tc>
          <w:tcPr>
            <w:tcW w:w="1337" w:type="dxa"/>
            <w:tcBorders>
              <w:top w:val="single" w:sz="4" w:space="0" w:color="BDC3C7"/>
              <w:bottom w:val="single" w:sz="4" w:space="0" w:color="BDC3C7"/>
            </w:tcBorders>
            <w:shd w:val="clear" w:color="auto" w:fill="FFFFFF" w:themeFill="background1"/>
            <w:vAlign w:val="center"/>
          </w:tcPr>
          <w:p w14:paraId="7DB4B0EB" w14:textId="77777777" w:rsidR="00D94FC8" w:rsidRPr="00896BD7" w:rsidRDefault="00C33799">
            <w:pPr>
              <w:jc w:val="right"/>
              <w:rPr>
                <w:rFonts w:ascii="Arial" w:hAnsi="Arial" w:cs="Arial"/>
              </w:rPr>
            </w:pPr>
            <w:r>
              <w:rPr>
                <w:rFonts w:ascii="Arial" w:hAnsi="Arial" w:cs="Arial"/>
                <w:sz w:val="18"/>
              </w:rPr>
              <w:t>0.066</w:t>
            </w:r>
          </w:p>
        </w:tc>
        <w:tc>
          <w:tcPr>
            <w:tcW w:w="1337" w:type="dxa"/>
            <w:tcBorders>
              <w:top w:val="single" w:sz="4" w:space="0" w:color="BDC3C7"/>
              <w:bottom w:val="single" w:sz="4" w:space="0" w:color="BDC3C7"/>
            </w:tcBorders>
            <w:shd w:val="clear" w:color="auto" w:fill="FFFFFF" w:themeFill="background1"/>
            <w:vAlign w:val="center"/>
          </w:tcPr>
          <w:p w14:paraId="17F42794" w14:textId="77777777" w:rsidR="00D94FC8" w:rsidRPr="00896BD7" w:rsidRDefault="00C33799">
            <w:pPr>
              <w:jc w:val="right"/>
              <w:rPr>
                <w:rFonts w:ascii="Arial" w:hAnsi="Arial" w:cs="Arial"/>
              </w:rPr>
            </w:pPr>
            <w:r>
              <w:rPr>
                <w:rFonts w:ascii="Arial" w:hAnsi="Arial" w:cs="Arial"/>
                <w:sz w:val="18"/>
              </w:rPr>
              <w:t>1</w:t>
            </w:r>
          </w:p>
        </w:tc>
        <w:tc>
          <w:tcPr>
            <w:tcW w:w="1337" w:type="dxa"/>
            <w:tcBorders>
              <w:top w:val="single" w:sz="4" w:space="0" w:color="BDC3C7"/>
              <w:bottom w:val="single" w:sz="4" w:space="0" w:color="BDC3C7"/>
            </w:tcBorders>
            <w:shd w:val="clear" w:color="auto" w:fill="FFFFFF" w:themeFill="background1"/>
            <w:vAlign w:val="center"/>
          </w:tcPr>
          <w:p w14:paraId="0C9F0427" w14:textId="77777777" w:rsidR="00D94FC8" w:rsidRPr="00896BD7" w:rsidRDefault="00C33799">
            <w:pPr>
              <w:jc w:val="right"/>
              <w:rPr>
                <w:rFonts w:ascii="Arial" w:hAnsi="Arial" w:cs="Arial"/>
              </w:rPr>
            </w:pPr>
            <w:r>
              <w:rPr>
                <w:rFonts w:ascii="Arial" w:hAnsi="Arial" w:cs="Arial"/>
                <w:sz w:val="18"/>
              </w:rPr>
              <w:t>1565</w:t>
            </w:r>
          </w:p>
        </w:tc>
        <w:tc>
          <w:tcPr>
            <w:tcW w:w="1337" w:type="dxa"/>
            <w:tcBorders>
              <w:top w:val="single" w:sz="4" w:space="0" w:color="BDC3C7"/>
              <w:bottom w:val="single" w:sz="4" w:space="0" w:color="BDC3C7"/>
            </w:tcBorders>
            <w:shd w:val="clear" w:color="auto" w:fill="FFFFFF" w:themeFill="background1"/>
            <w:vAlign w:val="center"/>
          </w:tcPr>
          <w:p w14:paraId="4B6F0629" w14:textId="77777777" w:rsidR="00D94FC8" w:rsidRPr="00896BD7" w:rsidRDefault="00C33799">
            <w:pPr>
              <w:jc w:val="right"/>
              <w:rPr>
                <w:rFonts w:ascii="Arial" w:hAnsi="Arial" w:cs="Arial"/>
              </w:rPr>
            </w:pPr>
            <w:r>
              <w:rPr>
                <w:rFonts w:ascii="Arial" w:hAnsi="Arial" w:cs="Arial"/>
                <w:sz w:val="18"/>
              </w:rPr>
              <w:t>0.7968</w:t>
            </w:r>
          </w:p>
        </w:tc>
        <w:tc>
          <w:tcPr>
            <w:tcW w:w="1337" w:type="dxa"/>
            <w:tcBorders>
              <w:top w:val="single" w:sz="4" w:space="0" w:color="BDC3C7"/>
              <w:bottom w:val="single" w:sz="4" w:space="0" w:color="BDC3C7"/>
            </w:tcBorders>
            <w:shd w:val="clear" w:color="auto" w:fill="FFFFFF" w:themeFill="background1"/>
            <w:vAlign w:val="center"/>
          </w:tcPr>
          <w:p w14:paraId="7D4C435C" w14:textId="77777777" w:rsidR="00D94FC8" w:rsidRPr="00896BD7" w:rsidRDefault="00C33799">
            <w:pPr>
              <w:jc w:val="right"/>
              <w:rPr>
                <w:rFonts w:ascii="Arial" w:hAnsi="Arial" w:cs="Arial"/>
              </w:rPr>
            </w:pPr>
            <w:r>
              <w:rPr>
                <w:rFonts w:ascii="Arial" w:hAnsi="Arial" w:cs="Arial"/>
                <w:sz w:val="18"/>
              </w:rPr>
              <w:t>Sí (Homocedasticidad)</w:t>
            </w:r>
          </w:p>
        </w:tc>
        <w:tc>
          <w:tcPr>
            <w:tcW w:w="1337" w:type="dxa"/>
            <w:tcBorders>
              <w:top w:val="single" w:sz="4" w:space="0" w:color="BDC3C7"/>
              <w:bottom w:val="single" w:sz="4" w:space="0" w:color="BDC3C7"/>
            </w:tcBorders>
            <w:shd w:val="clear" w:color="auto" w:fill="FFFFFF" w:themeFill="background1"/>
            <w:vAlign w:val="center"/>
          </w:tcPr>
          <w:p w14:paraId="71C112E9" w14:textId="77777777" w:rsidR="00D94FC8" w:rsidRPr="00896BD7" w:rsidRDefault="00C33799">
            <w:pPr>
              <w:jc w:val="right"/>
              <w:rPr>
                <w:rFonts w:ascii="Arial" w:hAnsi="Arial" w:cs="Arial"/>
              </w:rPr>
            </w:pPr>
            <w:r>
              <w:rPr>
                <w:rFonts w:ascii="Arial" w:hAnsi="Arial" w:cs="Arial"/>
                <w:sz w:val="18"/>
              </w:rPr>
              <w:t>t de Student</w:t>
            </w:r>
          </w:p>
        </w:tc>
      </w:tr>
    </w:tbl>
    <w:p w14:paraId="5E979895" w14:textId="77777777" w:rsidR="00D94FC8" w:rsidRPr="00896BD7" w:rsidRDefault="00D94FC8">
      <w:pPr>
        <w:spacing w:after="80"/>
        <w:rPr>
          <w:rFonts w:ascii="Arial" w:hAnsi="Arial" w:cs="Arial"/>
        </w:rPr>
      </w:pPr>
    </w:p>
    <w:p>
      <w:pPr>
        <w:rPr>
          <w:rFonts w:ascii="Arial" w:hAnsi="Arial" w:cs="Arial"/>
        </w:rPr>
      </w:pPr>
      <w:r>
        <w:rPr>
          <w:rFonts w:ascii="Arial" w:hAnsi="Arial" w:cs="Arial"/>
        </w:rPr>
        <w:t xml:space="preserve">Lectura de la Tabla 3: Levene indica varianzas distintas en stars (p = 0.0489), ln_forks_1 (p = 0.0070) y open_issues (p &lt; 0.001), y varianzas parecidas en forks (p = 0.0801) y size (p = 0.7968). Para el Procedimiento 2 importa la fila de ln_forks_1: como p &lt; 0.05, se usa la t de Welch, que no exige varianzas iguales. La diferencia real es pequeña (desviaciones de 0.7477 y 0.8030), pero con una muestra tan grande Levene la detecta; Welch es la opción segura y no cambia la conclusión.</w:t>
      </w:r>
    </w:p>
    <w:p w14:paraId="78C5697D" w14:textId="77777777" w:rsidR="00D94FC8" w:rsidRPr="00896BD7" w:rsidRDefault="00C33799">
      <w:pPr>
        <w:pStyle w:val="Ttulo1"/>
        <w:spacing w:before="200" w:after="60"/>
        <w:jc w:val="left"/>
        <w:rPr>
          <w:rFonts w:ascii="Arial" w:hAnsi="Arial" w:cs="Arial"/>
        </w:rPr>
      </w:pPr>
      <w:bookmarkStart w:id="4" w:name="_Toc202605"/>
      <w:r>
        <w:rPr>
          <w:rFonts w:ascii="Arial" w:hAnsi="Arial" w:cs="Arial"/>
          <w:color w:val="1B365D"/>
          <w:sz w:val="26"/>
        </w:rPr>
        <w:t>5. Procedimiento 1: Prueba de hipótesis para una muestra (stars)</w:t>
      </w:r>
      <w:bookmarkEnd w:id="4"/>
    </w:p>
    <w:p w14:paraId="486CC6B0" w14:textId="77777777" w:rsidR="00D94FC8" w:rsidRPr="00896BD7" w:rsidRDefault="00C33799">
      <w:pPr>
        <w:rPr>
          <w:rFonts w:ascii="Arial" w:hAnsi="Arial" w:cs="Arial"/>
        </w:rPr>
      </w:pPr>
      <w:r>
        <w:rPr>
          <w:rFonts w:ascii="Arial" w:hAnsi="Arial" w:cs="Arial"/>
        </w:rPr>
        <w:t xml:space="preserve">A continuación se desarrolla el procedimiento paso a paso:</w:t>
      </w:r>
    </w:p>
    <w:p w14:paraId="100F2588" w14:textId="77777777" w:rsidR="00D94FC8" w:rsidRPr="00896BD7" w:rsidRDefault="00C33799">
      <w:pPr>
        <w:rPr>
          <w:rFonts w:ascii="Arial" w:hAnsi="Arial" w:cs="Arial"/>
        </w:rPr>
      </w:pPr>
      <w:r>
        <w:rPr>
          <w:rFonts w:ascii="Arial" w:hAnsi="Arial" w:cs="Arial"/>
          <w:b/>
        </w:rPr>
        <w:t>1. Formulación de hipótesis (Prueba bilateral, nivel de significancia α = 0.05):</w:t>
      </w:r>
    </w:p>
    <w:p w14:paraId="301F92D9"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 = 9000 (El promedio poblacional de estrellas es igual al valor de referencia de 9000).</w:t>
      </w:r>
    </w:p>
    <w:p w14:paraId="46514A66"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xml:space="preserve">: μ ≠ 9000 (El promedio poblacional de estrellas es diferente de 9000).</w:t>
      </w:r>
    </w:p>
    <w:p>
      <w:pPr>
        <w:rPr>
          <w:rFonts w:ascii="Arial" w:hAnsi="Arial" w:cs="Arial"/>
        </w:rPr>
      </w:pPr>
      <w:r>
        <w:rPr>
          <w:rFonts w:ascii="Arial" w:hAnsi="Arial" w:cs="Arial"/>
        </w:rPr>
        <w:t xml:space="preserve">Justificación del valor de referencia: se eligió 9000 estrellas como umbral hipotético de popularidad alta, un valor redondo en la zona media-alta de los datos (mínimo 4001, máximo 19931). Es un criterio del grupo y no un estándar oficial de GitHub; además, se usa 5000 estrellas como segundo umbral, más bajo, de comparación.</w:t>
      </w:r>
    </w:p>
    <w:p w14:paraId="37A01468" w14:textId="77777777" w:rsidR="00D94FC8" w:rsidRPr="00896BD7" w:rsidRDefault="00C33799">
      <w:pPr>
        <w:rPr>
          <w:rFonts w:ascii="Arial" w:hAnsi="Arial" w:cs="Arial"/>
        </w:rPr>
      </w:pPr>
      <w:r>
        <w:rPr>
          <w:rFonts w:ascii="Arial" w:hAnsi="Arial" w:cs="Arial"/>
          <w:b/>
        </w:rPr>
        <w:t>2. Estadísticos descriptivos de la muestra (n = 1567):</w:t>
      </w:r>
    </w:p>
    <w:p w14:paraId="133B9C19" w14:textId="77777777" w:rsidR="00D94FC8" w:rsidRPr="00896BD7" w:rsidRDefault="00C33799">
      <w:pPr>
        <w:rPr>
          <w:rFonts w:ascii="Arial" w:hAnsi="Arial" w:cs="Arial"/>
        </w:rPr>
      </w:pPr>
      <w:r>
        <w:rPr>
          <w:rFonts w:ascii="Arial" w:hAnsi="Arial" w:cs="Arial"/>
        </w:rPr>
        <w:lastRenderedPageBreak/>
        <w:t>• Media muestral: x̄ = 8963.88 estrellas.</w:t>
      </w:r>
    </w:p>
    <w:p w14:paraId="70E0150A" w14:textId="77777777" w:rsidR="00D94FC8" w:rsidRPr="00896BD7" w:rsidRDefault="00C33799">
      <w:pPr>
        <w:rPr>
          <w:rFonts w:ascii="Arial" w:hAnsi="Arial" w:cs="Arial"/>
        </w:rPr>
      </w:pPr>
      <w:r>
        <w:rPr>
          <w:rFonts w:ascii="Arial" w:hAnsi="Arial" w:cs="Arial"/>
        </w:rPr>
        <w:t>• Desviación estándar: s = 4411.51 estrellas.</w:t>
      </w:r>
    </w:p>
    <w:p w14:paraId="5F94160B" w14:textId="77777777" w:rsidR="00D94FC8" w:rsidRPr="00896BD7" w:rsidRDefault="00C33799">
      <w:pPr>
        <w:rPr>
          <w:rFonts w:ascii="Arial" w:hAnsi="Arial" w:cs="Arial"/>
        </w:rPr>
      </w:pPr>
      <w:r>
        <w:rPr>
          <w:rFonts w:ascii="Arial" w:hAnsi="Arial" w:cs="Arial"/>
        </w:rPr>
        <w:t>• Error estándar de la media: SE = s / √n = 111.44 estrellas.</w:t>
      </w:r>
    </w:p>
    <w:p w14:paraId="4F1E961C" w14:textId="77777777" w:rsidR="00D94FC8" w:rsidRPr="00896BD7" w:rsidRDefault="00C33799">
      <w:pPr>
        <w:rPr>
          <w:rFonts w:ascii="Arial" w:hAnsi="Arial" w:cs="Arial"/>
        </w:rPr>
      </w:pPr>
      <w:r>
        <w:rPr>
          <w:rFonts w:ascii="Arial" w:hAnsi="Arial" w:cs="Arial"/>
        </w:rPr>
        <w:t>• Diferencia de medias: x̄ - μ</w:t>
      </w:r>
      <w:r>
        <w:rPr>
          <w:rFonts w:ascii="Cambria Math" w:hAnsi="Cambria Math" w:cs="Cambria Math"/>
        </w:rPr>
        <w:t>₀</w:t>
      </w:r>
      <w:r>
        <w:rPr>
          <w:rFonts w:ascii="Arial" w:hAnsi="Arial" w:cs="Arial"/>
        </w:rPr>
        <w:t xml:space="preserve"> = -36.12.</w:t>
      </w:r>
    </w:p>
    <w:p w14:paraId="6371A283" w14:textId="77777777" w:rsidR="00D94FC8" w:rsidRPr="00896BD7" w:rsidRDefault="00C33799">
      <w:pPr>
        <w:rPr>
          <w:rFonts w:ascii="Arial" w:hAnsi="Arial" w:cs="Arial"/>
        </w:rPr>
      </w:pPr>
      <w:r>
        <w:rPr>
          <w:rFonts w:ascii="Arial" w:hAnsi="Arial" w:cs="Arial"/>
          <w:b/>
        </w:rPr>
        <w:t>3. Verificación del supuesto de normalidad:</w:t>
      </w:r>
    </w:p>
    <w:p w14:paraId="19745C7A" w14:textId="77777777" w:rsidR="00D94FC8" w:rsidRPr="00896BD7" w:rsidRDefault="00C33799">
      <w:pPr>
        <w:rPr>
          <w:rFonts w:ascii="Arial" w:hAnsi="Arial" w:cs="Arial"/>
        </w:rPr>
      </w:pPr>
      <w:r>
        <w:rPr>
          <w:rFonts w:ascii="Arial" w:hAnsi="Arial" w:cs="Arial"/>
        </w:rPr>
        <w:t>• Shapiro–Wilk: W = 0.899 (gl = 1567, p &lt; 0.001). Aunque p &lt; 0.05, el Teorema del Límite Central (n = 1567 &gt;&gt; 30) justifica la aproximación normal de la distribución de la media muestral.</w:t>
      </w:r>
    </w:p>
    <w:p w14:paraId="200C627A" w14:textId="77777777" w:rsidR="00D94FC8" w:rsidRPr="00896BD7" w:rsidRDefault="00C33799">
      <w:pPr>
        <w:rPr>
          <w:rFonts w:ascii="Arial" w:hAnsi="Arial" w:cs="Arial"/>
        </w:rPr>
      </w:pPr>
      <w:r>
        <w:rPr>
          <w:rFonts w:ascii="Arial" w:hAnsi="Arial" w:cs="Arial"/>
          <w:b/>
        </w:rPr>
        <w:t>4. Aplicación de la prueba t para una muestra:</w:t>
      </w:r>
    </w:p>
    <w:p w14:paraId="162AB7F7" w14:textId="77777777" w:rsidR="00D94FC8" w:rsidRPr="00896BD7" w:rsidRDefault="00C33799">
      <w:pPr>
        <w:rPr>
          <w:rFonts w:ascii="Arial" w:hAnsi="Arial" w:cs="Arial"/>
        </w:rPr>
      </w:pPr>
      <w:r>
        <w:rPr>
          <w:rFonts w:ascii="Arial" w:hAnsi="Arial" w:cs="Arial"/>
        </w:rPr>
        <w:t>• Estadístico de prueba: t = (x̄ - μ</w:t>
      </w:r>
      <w:r>
        <w:rPr>
          <w:rFonts w:ascii="Cambria Math" w:hAnsi="Cambria Math" w:cs="Cambria Math"/>
        </w:rPr>
        <w:t>₀</w:t>
      </w:r>
      <w:r>
        <w:rPr>
          <w:rFonts w:ascii="Arial" w:hAnsi="Arial" w:cs="Arial"/>
        </w:rPr>
        <w:t>) / SE = (8963.88 - 9000) / 111.44 = -0.324.</w:t>
      </w:r>
    </w:p>
    <w:p w14:paraId="7FE049CE" w14:textId="77777777" w:rsidR="00D94FC8" w:rsidRPr="00896BD7" w:rsidRDefault="00C33799">
      <w:pPr>
        <w:rPr>
          <w:rFonts w:ascii="Arial" w:hAnsi="Arial" w:cs="Arial"/>
        </w:rPr>
      </w:pPr>
      <w:r>
        <w:rPr>
          <w:rFonts w:ascii="Arial" w:hAnsi="Arial" w:cs="Arial"/>
        </w:rPr>
        <w:t>• Grados de libertad: gl = n - 1 = 1566.</w:t>
      </w:r>
    </w:p>
    <w:p w14:paraId="5A7C6430" w14:textId="77777777" w:rsidR="00D94FC8" w:rsidRPr="00896BD7" w:rsidRDefault="00C33799">
      <w:pPr>
        <w:rPr>
          <w:rFonts w:ascii="Arial" w:hAnsi="Arial" w:cs="Arial"/>
        </w:rPr>
      </w:pPr>
      <w:r>
        <w:rPr>
          <w:rFonts w:ascii="Arial" w:hAnsi="Arial" w:cs="Arial"/>
        </w:rPr>
        <w:t>• p-valor obtenido en SPSS: p = 0.746 (bilateral) / p = 0.373 (unilateral).</w:t>
      </w:r>
    </w:p>
    <w:p w14:paraId="711C651E" w14:textId="77777777" w:rsidR="00D94FC8" w:rsidRPr="00896BD7" w:rsidRDefault="00C33799">
      <w:pPr>
        <w:rPr>
          <w:rFonts w:ascii="Arial" w:hAnsi="Arial" w:cs="Arial"/>
        </w:rPr>
      </w:pPr>
      <w:r>
        <w:rPr>
          <w:rFonts w:ascii="Arial" w:hAnsi="Arial" w:cs="Arial"/>
        </w:rPr>
        <w:t xml:space="preserve">• Intervalo de confianza al 95 % de la diferencia: [-254.71 ; 182.48].</w:t>
      </w:r>
    </w:p>
    <w:p w14:paraId="69602E60" w14:textId="77777777" w:rsidR="00D94FC8" w:rsidRPr="00896BD7" w:rsidRDefault="00C33799">
      <w:pPr>
        <w:rPr>
          <w:rFonts w:ascii="Arial" w:hAnsi="Arial" w:cs="Arial"/>
        </w:rPr>
      </w:pPr>
      <w:r>
        <w:rPr>
          <w:rFonts w:ascii="Arial" w:hAnsi="Arial" w:cs="Arial"/>
          <w:b/>
        </w:rPr>
        <w:t>5. Toma de decisión estadística según la regla:</w:t>
      </w:r>
    </w:p>
    <w:p w14:paraId="29E00A18" w14:textId="77777777" w:rsidR="00D94FC8" w:rsidRPr="00896BD7" w:rsidRDefault="00C33799">
      <w:pPr>
        <w:rPr>
          <w:rFonts w:ascii="Arial" w:hAnsi="Arial" w:cs="Arial"/>
        </w:rPr>
      </w:pPr>
      <w:r>
        <w:rPr>
          <w:rFonts w:ascii="Arial" w:hAnsi="Arial" w:cs="Arial"/>
        </w:rPr>
        <w:t>• Regla de decisión: Si p-valor ≥ α (0.05) → No se rechaza H</w:t>
      </w:r>
      <w:r>
        <w:rPr>
          <w:rFonts w:ascii="Cambria Math" w:hAnsi="Cambria Math" w:cs="Cambria Math"/>
        </w:rPr>
        <w:t>₀</w:t>
      </w:r>
      <w:r>
        <w:rPr>
          <w:rFonts w:ascii="Arial" w:hAnsi="Arial" w:cs="Arial"/>
        </w:rPr>
        <w:t>. Si p-valor &lt; α (0.05) → Se rechaza H</w:t>
      </w:r>
      <w:r>
        <w:rPr>
          <w:rFonts w:ascii="Cambria Math" w:hAnsi="Cambria Math" w:cs="Cambria Math"/>
        </w:rPr>
        <w:t>₀</w:t>
      </w:r>
      <w:r>
        <w:rPr>
          <w:rFonts w:ascii="Arial" w:hAnsi="Arial" w:cs="Arial"/>
        </w:rPr>
        <w:t>.</w:t>
      </w:r>
    </w:p>
    <w:p w14:paraId="12EFFFCE" w14:textId="77777777" w:rsidR="00D94FC8" w:rsidRPr="00896BD7" w:rsidRDefault="00C33799">
      <w:pPr>
        <w:rPr>
          <w:rFonts w:ascii="Arial" w:hAnsi="Arial" w:cs="Arial"/>
        </w:rPr>
      </w:pPr>
      <w:r>
        <w:rPr>
          <w:rFonts w:ascii="Arial" w:hAnsi="Arial" w:cs="Arial"/>
        </w:rPr>
        <w:t xml:space="preserve">• Decisión: Como p-valor = 0.746 ≥ 0.05, NO SE RECHAZA LA HIPÓTESIS NULA (H</w:t>
      </w:r>
      <w:r>
        <w:rPr>
          <w:rFonts w:ascii="Cambria Math" w:hAnsi="Cambria Math" w:cs="Cambria Math"/>
        </w:rPr>
        <w:t>₀</w:t>
      </w:r>
      <w:r>
        <w:rPr>
          <w:rFonts w:ascii="Arial" w:hAnsi="Arial" w:cs="Arial"/>
        </w:rPr>
        <w:t>).</w:t>
      </w:r>
    </w:p>
    <w:p w14:paraId="1C354772" w14:textId="77777777" w:rsidR="00D94FC8" w:rsidRPr="00896BD7" w:rsidRDefault="00C33799">
      <w:pPr>
        <w:rPr>
          <w:rFonts w:ascii="Arial" w:hAnsi="Arial" w:cs="Arial"/>
        </w:rPr>
      </w:pPr>
      <w:r>
        <w:rPr>
          <w:rFonts w:ascii="Arial" w:hAnsi="Arial" w:cs="Arial"/>
          <w:b/>
        </w:rPr>
        <w:t>6. Tamaño del efecto (d de Cohen y corrección de Hedges):</w:t>
      </w:r>
    </w:p>
    <w:p w14:paraId="4302B070" w14:textId="77777777" w:rsidR="00D94FC8" w:rsidRPr="00896BD7" w:rsidRDefault="00C33799">
      <w:pPr>
        <w:rPr>
          <w:rFonts w:ascii="Arial" w:hAnsi="Arial" w:cs="Arial"/>
        </w:rPr>
      </w:pPr>
      <w:r>
        <w:rPr>
          <w:rFonts w:ascii="Arial" w:hAnsi="Arial" w:cs="Arial"/>
        </w:rPr>
        <w:t>• d de Cohen = (x̄ - μ</w:t>
      </w:r>
      <w:r>
        <w:rPr>
          <w:rFonts w:ascii="Cambria Math" w:hAnsi="Cambria Math" w:cs="Cambria Math"/>
        </w:rPr>
        <w:t>₀</w:t>
      </w:r>
      <w:r>
        <w:rPr>
          <w:rFonts w:ascii="Arial" w:hAnsi="Arial" w:cs="Arial"/>
        </w:rPr>
        <w:t xml:space="preserve">) / s = -0.008 (IC 95 %: [-0.058 ; 0.041]).</w:t>
      </w:r>
    </w:p>
    <w:p w14:paraId="5937923A" w14:textId="77777777" w:rsidR="00D94FC8" w:rsidRPr="00896BD7" w:rsidRDefault="00C33799">
      <w:pPr>
        <w:rPr>
          <w:rFonts w:ascii="Arial" w:hAnsi="Arial" w:cs="Arial"/>
        </w:rPr>
      </w:pPr>
      <w:r>
        <w:rPr>
          <w:rFonts w:ascii="Arial" w:hAnsi="Arial" w:cs="Arial"/>
        </w:rPr>
        <w:t>• Hedges g = -0.008. Magnitud: Efecto nulo / trivial.</w:t>
      </w:r>
    </w:p>
    <w:p w14:paraId="43F1973B" w14:textId="77777777" w:rsidR="00D94FC8" w:rsidRPr="00896BD7" w:rsidRDefault="00C33799">
      <w:pPr>
        <w:rPr>
          <w:rFonts w:ascii="Arial" w:hAnsi="Arial" w:cs="Arial"/>
        </w:rPr>
      </w:pPr>
      <w:r>
        <w:rPr>
          <w:rFonts w:ascii="Arial" w:hAnsi="Arial" w:cs="Arial"/>
          <w:b/>
        </w:rPr>
        <w:t xml:space="preserve">7. Interpretación en el contexto del problema:</w:t>
      </w:r>
    </w:p>
    <w:p>
      <w:pPr>
        <w:rPr>
          <w:rFonts w:ascii="Arial" w:hAnsi="Arial" w:cs="Arial"/>
        </w:rPr>
      </w:pPr>
      <w:r>
        <w:rPr>
          <w:rFonts w:ascii="Arial" w:hAnsi="Arial" w:cs="Arial"/>
        </w:rPr>
        <w:t xml:space="preserve">   No existe evidencia estadística de que el promedio de estrellas de los repositorios de Python difiera del valor de referencia de 9000. La popularidad media de los proyectos analizados es compatible con el valor de referencia de 9000 estrellas. Cabe precisar que no rechazar H</w:t>
      </w:r>
      <w:r>
        <w:rPr>
          <w:rFonts w:ascii="Cambria Math" w:hAnsi="Cambria Math" w:cs="Cambria Math"/>
        </w:rPr>
        <w:t xml:space="preserve">₀</w:t>
      </w:r>
      <w:r>
        <w:rPr>
          <w:rFonts w:ascii="Arial" w:hAnsi="Arial" w:cs="Arial"/>
        </w:rPr>
        <w:t xml:space="preserve"> no demuestra la igualdad de promedios: solo indica que la muestra no aporta evidencia suficiente para afirmar que difieren. (Complementariamente, frente al umbral histórico mínimo de 5000 estrellas, la prueba arroja t = 35.57, p &amp;lt; 0.001, d = 0.90, rechazándose H</w:t>
      </w:r>
      <w:r>
        <w:rPr>
          <w:rFonts w:ascii="Cambria Math" w:hAnsi="Cambria Math" w:cs="Cambria Math"/>
        </w:rPr>
        <w:t xml:space="preserve">₀</w:t>
      </w:r>
      <w:r>
        <w:rPr>
          <w:rFonts w:ascii="Arial" w:hAnsi="Arial" w:cs="Arial"/>
        </w:rPr>
        <w:t xml:space="preserve"> con efecto grande).</w:t>
      </w:r>
    </w:p>
    <w:p>
      <w:pPr>
        <w:rPr>
          <w:rFonts w:ascii="Arial" w:hAnsi="Arial" w:cs="Arial"/>
        </w:rPr>
      </w:pPr>
      <w:r>
        <w:rPr>
          <w:rFonts w:ascii="Arial" w:hAnsi="Arial" w:cs="Arial"/>
        </w:rPr>
        <w:t xml:space="preserve">   El intervalo de confianza de la diferencia ([-254.71 ; 182.48]) incluye el cero, igual que la decisión de no rechazar H</w:t>
      </w:r>
      <w:r>
        <w:rPr>
          <w:rFonts w:ascii="Cambria Math" w:hAnsi="Cambria Math" w:cs="Cambria Math"/>
        </w:rPr>
        <w:t xml:space="preserve">₀</w:t>
      </w:r>
      <w:r>
        <w:rPr>
          <w:rFonts w:ascii="Arial" w:hAnsi="Arial" w:cs="Arial"/>
        </w:rPr>
        <w:t xml:space="preserve">. Además, si existiera una diferencia real, sería de unas 255 estrellas como máximo (2.8 % de 9000), algo irrelevante frente a una desviación estándar de 4411.51. Conviene distinguir el promedio del caso típico: la mediana (8539) está por debajo de 9000, así que al menos la mitad de los repositorios no llega a ese nivel, y solo 36.57 % supera las 10 000 estrellas. Frente al umbral de 5000, en cambio, el promedio es claramente mayor (unas 3964 estrellas más, d = 0.90), porque la muestra reúne proyectos ya consolidados. Los resultados valen para este dataset de repositorios Python populares, no para todo GitHub.</w:t>
      </w:r>
    </w:p>
    <w:p w14:paraId="0AD04F6E"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2ACF8ED5" wp14:editId="77A748C8">
            <wp:extent cx="3840480" cy="4154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9"/>
                    <a:stretch>
                      <a:fillRect/>
                    </a:stretch>
                  </pic:blipFill>
                  <pic:spPr>
                    <a:xfrm>
                      <a:off x="0" y="0"/>
                      <a:ext cx="3840480" cy="4154701"/>
                    </a:xfrm>
                    <a:prstGeom prst="rect">
                      <a:avLst/>
                    </a:prstGeom>
                  </pic:spPr>
                </pic:pic>
              </a:graphicData>
            </a:graphic>
          </wp:inline>
        </w:drawing>
      </w:r>
    </w:p>
    <w:p w14:paraId="7483E26F" w14:textId="77777777" w:rsidR="00D94FC8" w:rsidRPr="00896BD7" w:rsidRDefault="00C33799">
      <w:pPr>
        <w:spacing w:before="20" w:after="120"/>
        <w:jc w:val="center"/>
        <w:rPr>
          <w:rFonts w:ascii="Arial" w:hAnsi="Arial" w:cs="Arial"/>
        </w:rPr>
      </w:pPr>
      <w:r>
        <w:rPr>
          <w:rFonts w:ascii="Arial" w:hAnsi="Arial" w:cs="Arial"/>
          <w:b/>
          <w:i/>
          <w:color w:val="555555"/>
          <w:sz w:val="19"/>
        </w:rPr>
        <w:t>Figura 1. Estadísticos descriptivos y pruebas de normalidad de stars en SPSS.</w:t>
      </w:r>
    </w:p>
    <w:p w14:paraId="0292B45D"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67A024D4" wp14:editId="05B1C2BE">
            <wp:extent cx="3840480" cy="2522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0"/>
                    <a:stretch>
                      <a:fillRect/>
                    </a:stretch>
                  </pic:blipFill>
                  <pic:spPr>
                    <a:xfrm>
                      <a:off x="0" y="0"/>
                      <a:ext cx="3840480" cy="2522579"/>
                    </a:xfrm>
                    <a:prstGeom prst="rect">
                      <a:avLst/>
                    </a:prstGeom>
                  </pic:spPr>
                </pic:pic>
              </a:graphicData>
            </a:graphic>
          </wp:inline>
        </w:drawing>
      </w:r>
    </w:p>
    <w:p w14:paraId="511E06F6" w14:textId="77777777" w:rsidR="00D94FC8" w:rsidRPr="00896BD7" w:rsidRDefault="00C33799">
      <w:pPr>
        <w:spacing w:before="20" w:after="120"/>
        <w:jc w:val="center"/>
        <w:rPr>
          <w:rFonts w:ascii="Arial" w:hAnsi="Arial" w:cs="Arial"/>
        </w:rPr>
      </w:pPr>
      <w:r>
        <w:rPr>
          <w:rFonts w:ascii="Arial" w:hAnsi="Arial" w:cs="Arial"/>
          <w:b/>
          <w:i/>
          <w:color w:val="555555"/>
          <w:sz w:val="19"/>
        </w:rPr>
        <w:t>Figura 2. Histograma de frecuencias de stars con parámetros muestrales (x̄ = 8963.88, s = 4411.51).</w:t>
      </w:r>
    </w:p>
    <w:p w14:paraId="07FDE789"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0F88B1D1" wp14:editId="0A1A5AA6">
            <wp:extent cx="3840480" cy="2242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3840480" cy="2242105"/>
                    </a:xfrm>
                    <a:prstGeom prst="rect">
                      <a:avLst/>
                    </a:prstGeom>
                  </pic:spPr>
                </pic:pic>
              </a:graphicData>
            </a:graphic>
          </wp:inline>
        </w:drawing>
      </w:r>
    </w:p>
    <w:p w14:paraId="32A826EC" w14:textId="77777777" w:rsidR="00D94FC8" w:rsidRPr="00896BD7" w:rsidRDefault="00C33799">
      <w:pPr>
        <w:spacing w:before="20" w:after="120"/>
        <w:jc w:val="center"/>
        <w:rPr>
          <w:rFonts w:ascii="Arial" w:hAnsi="Arial" w:cs="Arial"/>
        </w:rPr>
      </w:pPr>
      <w:r>
        <w:rPr>
          <w:rFonts w:ascii="Arial" w:hAnsi="Arial" w:cs="Arial"/>
          <w:b/>
          <w:i/>
          <w:color w:val="555555"/>
          <w:sz w:val="19"/>
        </w:rPr>
        <w:t>Figura 3. Gráfico Q-Q normal de la variable stars.</w:t>
      </w:r>
    </w:p>
    <w:p w14:paraId="77E9EF64"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30143CDE" wp14:editId="136FCAB9">
            <wp:extent cx="3840480" cy="2344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3840480" cy="2344479"/>
                    </a:xfrm>
                    <a:prstGeom prst="rect">
                      <a:avLst/>
                    </a:prstGeom>
                  </pic:spPr>
                </pic:pic>
              </a:graphicData>
            </a:graphic>
          </wp:inline>
        </w:drawing>
      </w:r>
    </w:p>
    <w:p w14:paraId="6491D05A" w14:textId="77777777" w:rsidR="00D94FC8" w:rsidRPr="00896BD7" w:rsidRDefault="00C33799">
      <w:pPr>
        <w:spacing w:before="20" w:after="120"/>
        <w:jc w:val="center"/>
        <w:rPr>
          <w:rFonts w:ascii="Arial" w:hAnsi="Arial" w:cs="Arial"/>
        </w:rPr>
      </w:pPr>
      <w:r>
        <w:rPr>
          <w:rFonts w:ascii="Arial" w:hAnsi="Arial" w:cs="Arial"/>
          <w:b/>
          <w:i/>
          <w:color w:val="555555"/>
          <w:sz w:val="19"/>
        </w:rPr>
        <w:t>Figura 4. Diagrama de caja (Boxplot) de stars mostrando cuartiles y mediana.</w:t>
      </w:r>
    </w:p>
    <w:p w14:paraId="48F304CE"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42C0C5EB" wp14:editId="4BEE44D5">
            <wp:extent cx="4629150" cy="426023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4639293" cy="4269569"/>
                    </a:xfrm>
                    <a:prstGeom prst="rect">
                      <a:avLst/>
                    </a:prstGeom>
                  </pic:spPr>
                </pic:pic>
              </a:graphicData>
            </a:graphic>
          </wp:inline>
        </w:drawing>
      </w:r>
    </w:p>
    <w:p w14:paraId="2E0C3332" w14:textId="77777777" w:rsidR="00D94FC8" w:rsidRPr="00896BD7" w:rsidRDefault="00C33799">
      <w:pPr>
        <w:spacing w:before="20" w:after="120"/>
        <w:jc w:val="center"/>
        <w:rPr>
          <w:rFonts w:ascii="Arial" w:hAnsi="Arial" w:cs="Arial"/>
        </w:rPr>
      </w:pPr>
      <w:r>
        <w:rPr>
          <w:rFonts w:ascii="Arial" w:hAnsi="Arial" w:cs="Arial"/>
          <w:b/>
          <w:i/>
          <w:color w:val="555555"/>
          <w:sz w:val="19"/>
        </w:rPr>
        <w:t>Figura 5. Resultados de la prueba t para una muestra (μ</w:t>
      </w:r>
      <w:r>
        <w:rPr>
          <w:rFonts w:ascii="Cambria Math" w:hAnsi="Cambria Math" w:cs="Cambria Math"/>
          <w:b/>
          <w:i/>
          <w:color w:val="555555"/>
          <w:sz w:val="19"/>
        </w:rPr>
        <w:t>₀</w:t>
      </w:r>
      <w:r>
        <w:rPr>
          <w:rFonts w:ascii="Arial" w:hAnsi="Arial" w:cs="Arial"/>
          <w:b/>
          <w:i/>
          <w:color w:val="555555"/>
          <w:sz w:val="19"/>
        </w:rPr>
        <w:t xml:space="preserve"> = 9000) y tamaños de efecto en SPSS.</w:t>
      </w:r>
    </w:p>
    <w:p w14:paraId="2514CF45" w14:textId="77777777" w:rsidR="00D94FC8" w:rsidRPr="00896BD7" w:rsidRDefault="00C33799">
      <w:pPr>
        <w:pStyle w:val="Ttulo1"/>
        <w:spacing w:before="200" w:after="60"/>
        <w:jc w:val="left"/>
        <w:rPr>
          <w:rFonts w:ascii="Arial" w:hAnsi="Arial" w:cs="Arial"/>
        </w:rPr>
      </w:pPr>
      <w:bookmarkStart w:id="5" w:name="_Toc202606"/>
      <w:r>
        <w:rPr>
          <w:rFonts w:ascii="Arial" w:hAnsi="Arial" w:cs="Arial"/>
          <w:color w:val="1B365D"/>
          <w:sz w:val="26"/>
        </w:rPr>
        <w:t xml:space="preserve">6. Procedimiento 2: Comparación de promedios entre dos grupos independientes (ln_forks_1)</w:t>
      </w:r>
      <w:bookmarkEnd w:id="5"/>
    </w:p>
    <w:p w14:paraId="2A605632" w14:textId="77777777" w:rsidR="00D94FC8" w:rsidRPr="00896BD7" w:rsidRDefault="00C33799">
      <w:pPr>
        <w:rPr>
          <w:rFonts w:ascii="Arial" w:hAnsi="Arial" w:cs="Arial"/>
        </w:rPr>
      </w:pPr>
      <w:r>
        <w:rPr>
          <w:rFonts w:ascii="Arial" w:hAnsi="Arial" w:cs="Arial"/>
        </w:rPr>
        <w:t>Se contrasta el nivel de bifurcaciones transformadas (ln_forks_1) según el tipo de propietario (Organization vs. User):</w:t>
      </w:r>
    </w:p>
    <w:p w14:paraId="4CD7849F" w14:textId="77777777" w:rsidR="00D94FC8" w:rsidRPr="00896BD7" w:rsidRDefault="00C33799">
      <w:pPr>
        <w:rPr>
          <w:rFonts w:ascii="Arial" w:hAnsi="Arial" w:cs="Arial"/>
        </w:rPr>
      </w:pPr>
      <w:r>
        <w:rPr>
          <w:rFonts w:ascii="Arial" w:hAnsi="Arial" w:cs="Arial"/>
          <w:b/>
        </w:rPr>
        <w:t>1. Formulación de hipótesis (Prueba bilateral, nivel de significancia α = 0.05):</w:t>
      </w:r>
    </w:p>
    <w:p w14:paraId="0307940B"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μ_Org = μ_User (El promedio de ln_forks_1 es igual entre organizaciones y usuarios individuales).</w:t>
      </w:r>
    </w:p>
    <w:p w14:paraId="54C71A06"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μ_Org ≠ μ_User (El promedio de ln_forks_1 es diferente entre organizaciones y usuarios individuales).</w:t>
      </w:r>
    </w:p>
    <w:p w14:paraId="753E4294" w14:textId="77777777" w:rsidR="00D94FC8" w:rsidRPr="00896BD7" w:rsidRDefault="00C33799">
      <w:pPr>
        <w:rPr>
          <w:rFonts w:ascii="Arial" w:hAnsi="Arial" w:cs="Arial"/>
        </w:rPr>
      </w:pPr>
      <w:r>
        <w:rPr>
          <w:rFonts w:ascii="Arial" w:hAnsi="Arial" w:cs="Arial"/>
          <w:b/>
        </w:rPr>
        <w:t>2. Estadísticos descriptivos por grupo:</w:t>
      </w:r>
    </w:p>
    <w:p w14:paraId="708D15E8" w14:textId="77777777" w:rsidR="00D94FC8" w:rsidRPr="00896BD7" w:rsidRDefault="00C33799">
      <w:pPr>
        <w:rPr>
          <w:rFonts w:ascii="Arial" w:hAnsi="Arial" w:cs="Arial"/>
        </w:rPr>
      </w:pPr>
      <w:r>
        <w:rPr>
          <w:rFonts w:ascii="Arial" w:hAnsi="Arial" w:cs="Arial"/>
        </w:rPr>
        <w:t>• Grupo Organization (n</w:t>
      </w:r>
      <w:r>
        <w:rPr>
          <w:rFonts w:ascii="Cambria Math" w:hAnsi="Cambria Math" w:cs="Cambria Math"/>
        </w:rPr>
        <w:t>₁</w:t>
      </w:r>
      <w:r>
        <w:rPr>
          <w:rFonts w:ascii="Arial" w:hAnsi="Arial" w:cs="Arial"/>
        </w:rPr>
        <w:t xml:space="preserve"> = 878): Media x̄</w:t>
      </w:r>
      <w:r>
        <w:rPr>
          <w:rFonts w:ascii="Cambria Math" w:hAnsi="Cambria Math" w:cs="Cambria Math"/>
        </w:rPr>
        <w:t>₁</w:t>
      </w:r>
      <w:r>
        <w:rPr>
          <w:rFonts w:ascii="Arial" w:hAnsi="Arial" w:cs="Arial"/>
        </w:rPr>
        <w:t xml:space="preserve"> = 6.9141, Desv. Est. s</w:t>
      </w:r>
      <w:r>
        <w:rPr>
          <w:rFonts w:ascii="Cambria Math" w:hAnsi="Cambria Math" w:cs="Cambria Math"/>
        </w:rPr>
        <w:t>₁</w:t>
      </w:r>
      <w:r>
        <w:rPr>
          <w:rFonts w:ascii="Arial" w:hAnsi="Arial" w:cs="Arial"/>
        </w:rPr>
        <w:t xml:space="preserve"> = 0.7477, Error Est. SE</w:t>
      </w:r>
      <w:r>
        <w:rPr>
          <w:rFonts w:ascii="Cambria Math" w:hAnsi="Cambria Math" w:cs="Cambria Math"/>
        </w:rPr>
        <w:t>₁</w:t>
      </w:r>
      <w:r>
        <w:rPr>
          <w:rFonts w:ascii="Arial" w:hAnsi="Arial" w:cs="Arial"/>
        </w:rPr>
        <w:t xml:space="preserve"> = 0.0252.</w:t>
      </w:r>
    </w:p>
    <w:p w14:paraId="6F8E6615" w14:textId="77777777" w:rsidR="00D94FC8" w:rsidRPr="00896BD7" w:rsidRDefault="00C33799">
      <w:pPr>
        <w:rPr>
          <w:rFonts w:ascii="Arial" w:hAnsi="Arial" w:cs="Arial"/>
        </w:rPr>
      </w:pPr>
      <w:r>
        <w:rPr>
          <w:rFonts w:ascii="Arial" w:hAnsi="Arial" w:cs="Arial"/>
        </w:rPr>
        <w:t>• Grupo User (n</w:t>
      </w:r>
      <w:r>
        <w:rPr>
          <w:rFonts w:ascii="Cambria Math" w:hAnsi="Cambria Math" w:cs="Cambria Math"/>
        </w:rPr>
        <w:t>₂</w:t>
      </w:r>
      <w:r>
        <w:rPr>
          <w:rFonts w:ascii="Arial" w:hAnsi="Arial" w:cs="Arial"/>
        </w:rPr>
        <w:t xml:space="preserve"> = 689): Media x̄</w:t>
      </w:r>
      <w:r>
        <w:rPr>
          <w:rFonts w:ascii="Cambria Math" w:hAnsi="Cambria Math" w:cs="Cambria Math"/>
        </w:rPr>
        <w:t>₂</w:t>
      </w:r>
      <w:r>
        <w:rPr>
          <w:rFonts w:ascii="Arial" w:hAnsi="Arial" w:cs="Arial"/>
        </w:rPr>
        <w:t xml:space="preserve"> = 6.8701, Desv. Est. s</w:t>
      </w:r>
      <w:r>
        <w:rPr>
          <w:rFonts w:ascii="Cambria Math" w:hAnsi="Cambria Math" w:cs="Cambria Math"/>
        </w:rPr>
        <w:t>₂</w:t>
      </w:r>
      <w:r>
        <w:rPr>
          <w:rFonts w:ascii="Arial" w:hAnsi="Arial" w:cs="Arial"/>
        </w:rPr>
        <w:t xml:space="preserve"> = 0.8030, Error Est. SE</w:t>
      </w:r>
      <w:r>
        <w:rPr>
          <w:rFonts w:ascii="Cambria Math" w:hAnsi="Cambria Math" w:cs="Cambria Math"/>
        </w:rPr>
        <w:t>₂</w:t>
      </w:r>
      <w:r>
        <w:rPr>
          <w:rFonts w:ascii="Arial" w:hAnsi="Arial" w:cs="Arial"/>
        </w:rPr>
        <w:t xml:space="preserve"> = 0.0306.</w:t>
      </w:r>
    </w:p>
    <w:p w14:paraId="44EF16C2" w14:textId="77777777" w:rsidR="00D94FC8" w:rsidRPr="00896BD7" w:rsidRDefault="00C33799">
      <w:pPr>
        <w:rPr>
          <w:rFonts w:ascii="Arial" w:hAnsi="Arial" w:cs="Arial"/>
        </w:rPr>
      </w:pPr>
      <w:r>
        <w:rPr>
          <w:rFonts w:ascii="Arial" w:hAnsi="Arial" w:cs="Arial"/>
        </w:rPr>
        <w:t>• Diferencia de medias: x̄</w:t>
      </w:r>
      <w:r>
        <w:rPr>
          <w:rFonts w:ascii="Cambria Math" w:hAnsi="Cambria Math" w:cs="Cambria Math"/>
        </w:rPr>
        <w:t>₁</w:t>
      </w:r>
      <w:r>
        <w:rPr>
          <w:rFonts w:ascii="Arial" w:hAnsi="Arial" w:cs="Arial"/>
        </w:rPr>
        <w:t xml:space="preserve"> - x̄</w:t>
      </w:r>
      <w:r>
        <w:rPr>
          <w:rFonts w:ascii="Cambria Math" w:hAnsi="Cambria Math" w:cs="Cambria Math"/>
        </w:rPr>
        <w:t>₂</w:t>
      </w:r>
      <w:r>
        <w:rPr>
          <w:rFonts w:ascii="Arial" w:hAnsi="Arial" w:cs="Arial"/>
        </w:rPr>
        <w:t xml:space="preserve"> = 0.04391 unidades logarítmicas.</w:t>
      </w:r>
    </w:p>
    <w:p w14:paraId="2348F64E" w14:textId="77777777" w:rsidR="00D94FC8" w:rsidRPr="00896BD7" w:rsidRDefault="00C33799">
      <w:pPr>
        <w:rPr>
          <w:rFonts w:ascii="Arial" w:hAnsi="Arial" w:cs="Arial"/>
        </w:rPr>
      </w:pPr>
      <w:r>
        <w:rPr>
          <w:rFonts w:ascii="Arial" w:hAnsi="Arial" w:cs="Arial"/>
          <w:b/>
        </w:rPr>
        <w:t>3. Verificación de supuestos:</w:t>
      </w:r>
    </w:p>
    <w:p w14:paraId="411DE268" w14:textId="77777777" w:rsidR="00D94FC8" w:rsidRPr="00896BD7" w:rsidRDefault="00C33799">
      <w:pPr>
        <w:rPr>
          <w:rFonts w:ascii="Arial" w:hAnsi="Arial" w:cs="Arial"/>
        </w:rPr>
      </w:pPr>
      <w:r>
        <w:rPr>
          <w:rFonts w:ascii="Arial" w:hAnsi="Arial" w:cs="Arial"/>
        </w:rPr>
        <w:t xml:space="preserve">• Normalidad (Shapiro–Wilk): Organization W = 0.9774 (p &lt; 0.001); User W = 0.9972 (p = 0.2974, cumple normalidad al 5 %). El grupo de organizaciones se apoya en el TLC (n</w:t>
      </w:r>
      <w:r>
        <w:rPr>
          <w:rFonts w:ascii="Cambria Math" w:hAnsi="Cambria Math" w:cs="Cambria Math"/>
        </w:rPr>
        <w:t>₁</w:t>
      </w:r>
      <w:r>
        <w:rPr>
          <w:rFonts w:ascii="Arial" w:hAnsi="Arial" w:cs="Arial"/>
        </w:rPr>
        <w:t xml:space="preserve"> = 878 &gt;&gt; 30).</w:t>
      </w:r>
    </w:p>
    <w:p w14:paraId="328381FB" w14:textId="77777777" w:rsidR="00D94FC8" w:rsidRPr="00896BD7" w:rsidRDefault="00C33799">
      <w:pPr>
        <w:rPr>
          <w:rFonts w:ascii="Arial" w:hAnsi="Arial" w:cs="Arial"/>
        </w:rPr>
      </w:pPr>
      <w:r>
        <w:rPr>
          <w:rFonts w:ascii="Arial" w:hAnsi="Arial" w:cs="Arial"/>
        </w:rPr>
        <w:lastRenderedPageBreak/>
        <w:t>• Homogeneidad de varianzas (Prueba de Levene): Estadístico F = 7.352, p = 0.007. Dado que p &lt; 0.05, se RECHAZA la homocedasticidad (varianzas heterogéneas).</w:t>
      </w:r>
    </w:p>
    <w:p w14:paraId="7A1E379F" w14:textId="77777777" w:rsidR="00D94FC8" w:rsidRPr="00896BD7" w:rsidRDefault="00C33799">
      <w:pPr>
        <w:rPr>
          <w:rFonts w:ascii="Arial" w:hAnsi="Arial" w:cs="Arial"/>
        </w:rPr>
      </w:pPr>
      <w:r>
        <w:rPr>
          <w:rFonts w:ascii="Arial" w:hAnsi="Arial" w:cs="Arial"/>
          <w:b/>
        </w:rPr>
        <w:t>4. Selección y aplicación de la prueba inferencial: t de Welch:</w:t>
      </w:r>
    </w:p>
    <w:p w14:paraId="7448CCDD" w14:textId="77777777" w:rsidR="00D94FC8" w:rsidRPr="00896BD7" w:rsidRDefault="00C33799">
      <w:pPr>
        <w:rPr>
          <w:rFonts w:ascii="Arial" w:hAnsi="Arial" w:cs="Arial"/>
        </w:rPr>
      </w:pPr>
      <w:r>
        <w:rPr>
          <w:rFonts w:ascii="Arial" w:hAnsi="Arial" w:cs="Arial"/>
        </w:rPr>
        <w:t>• Ante varianzas desiguales, se aplica la prueba t de Welch con grados de libertad ajustados de Satterthwaite.</w:t>
      </w:r>
    </w:p>
    <w:p w14:paraId="27E82F1A" w14:textId="77777777" w:rsidR="00D94FC8" w:rsidRPr="00896BD7" w:rsidRDefault="00C33799">
      <w:pPr>
        <w:rPr>
          <w:rFonts w:ascii="Arial" w:hAnsi="Arial" w:cs="Arial"/>
        </w:rPr>
      </w:pPr>
      <w:r>
        <w:rPr>
          <w:rFonts w:ascii="Arial" w:hAnsi="Arial" w:cs="Arial"/>
        </w:rPr>
        <w:t>• Estadístico t = 1.107.</w:t>
      </w:r>
    </w:p>
    <w:p w14:paraId="1163B2D1" w14:textId="77777777" w:rsidR="00D94FC8" w:rsidRPr="00896BD7" w:rsidRDefault="00C33799">
      <w:pPr>
        <w:rPr>
          <w:rFonts w:ascii="Arial" w:hAnsi="Arial" w:cs="Arial"/>
        </w:rPr>
      </w:pPr>
      <w:r>
        <w:rPr>
          <w:rFonts w:ascii="Arial" w:hAnsi="Arial" w:cs="Arial"/>
        </w:rPr>
        <w:t>• Grados de libertad ajustados: gl = 1425.171.</w:t>
      </w:r>
    </w:p>
    <w:p w14:paraId="38CFC282" w14:textId="77777777" w:rsidR="00D94FC8" w:rsidRPr="00896BD7" w:rsidRDefault="00C33799">
      <w:pPr>
        <w:rPr>
          <w:rFonts w:ascii="Arial" w:hAnsi="Arial" w:cs="Arial"/>
        </w:rPr>
      </w:pPr>
      <w:r>
        <w:rPr>
          <w:rFonts w:ascii="Arial" w:hAnsi="Arial" w:cs="Arial"/>
        </w:rPr>
        <w:t>• p-valor obtenido en SPSS: p = 0.268 (bilateral) / p = 0.134 (unilateral).</w:t>
      </w:r>
    </w:p>
    <w:p w14:paraId="1565D31D" w14:textId="77777777" w:rsidR="00D94FC8" w:rsidRPr="00896BD7" w:rsidRDefault="00C33799">
      <w:pPr>
        <w:rPr>
          <w:rFonts w:ascii="Arial" w:hAnsi="Arial" w:cs="Arial"/>
        </w:rPr>
      </w:pPr>
      <w:r>
        <w:rPr>
          <w:rFonts w:ascii="Arial" w:hAnsi="Arial" w:cs="Arial"/>
        </w:rPr>
        <w:t>• Error estándar de la diferencia: SE_dif = 0.03966.</w:t>
      </w:r>
    </w:p>
    <w:p w14:paraId="7E60C9DC" w14:textId="77777777" w:rsidR="00D94FC8" w:rsidRPr="00896BD7" w:rsidRDefault="00C33799">
      <w:pPr>
        <w:rPr>
          <w:rFonts w:ascii="Arial" w:hAnsi="Arial" w:cs="Arial"/>
        </w:rPr>
      </w:pPr>
      <w:r>
        <w:rPr>
          <w:rFonts w:ascii="Arial" w:hAnsi="Arial" w:cs="Arial"/>
        </w:rPr>
        <w:t xml:space="preserve">• IC 95 % de la diferencia: [-0.03388 ; 0.12171].</w:t>
      </w:r>
    </w:p>
    <w:p w14:paraId="622D0451" w14:textId="77777777" w:rsidR="00D94FC8" w:rsidRPr="00896BD7" w:rsidRDefault="00C33799">
      <w:pPr>
        <w:rPr>
          <w:rFonts w:ascii="Arial" w:hAnsi="Arial" w:cs="Arial"/>
        </w:rPr>
      </w:pPr>
      <w:r>
        <w:rPr>
          <w:rFonts w:ascii="Arial" w:hAnsi="Arial" w:cs="Arial"/>
          <w:b/>
        </w:rPr>
        <w:t>5. Toma de decisión estadística según la regla:</w:t>
      </w:r>
    </w:p>
    <w:p w14:paraId="740B79F4" w14:textId="77777777" w:rsidR="00D94FC8" w:rsidRPr="00896BD7" w:rsidRDefault="00C33799">
      <w:pPr>
        <w:rPr>
          <w:rFonts w:ascii="Arial" w:hAnsi="Arial" w:cs="Arial"/>
        </w:rPr>
      </w:pPr>
      <w:r>
        <w:rPr>
          <w:rFonts w:ascii="Arial" w:hAnsi="Arial" w:cs="Arial"/>
        </w:rPr>
        <w:t xml:space="preserve">• Regla: p-valor ≥ α (0.05) → No se rechaza H</w:t>
      </w:r>
      <w:r>
        <w:rPr>
          <w:rFonts w:ascii="Cambria Math" w:hAnsi="Cambria Math" w:cs="Cambria Math"/>
        </w:rPr>
        <w:t>₀</w:t>
      </w:r>
      <w:r>
        <w:rPr>
          <w:rFonts w:ascii="Arial" w:hAnsi="Arial" w:cs="Arial"/>
        </w:rPr>
        <w:t>. p-valor &lt; α (0.05) → Se rechaza H</w:t>
      </w:r>
      <w:r>
        <w:rPr>
          <w:rFonts w:ascii="Cambria Math" w:hAnsi="Cambria Math" w:cs="Cambria Math"/>
        </w:rPr>
        <w:t>₀</w:t>
      </w:r>
      <w:r>
        <w:rPr>
          <w:rFonts w:ascii="Arial" w:hAnsi="Arial" w:cs="Arial"/>
        </w:rPr>
        <w:t>.</w:t>
      </w:r>
    </w:p>
    <w:p w14:paraId="7752805F" w14:textId="77777777" w:rsidR="00D94FC8" w:rsidRPr="00896BD7" w:rsidRDefault="00C33799">
      <w:pPr>
        <w:rPr>
          <w:rFonts w:ascii="Arial" w:hAnsi="Arial" w:cs="Arial"/>
        </w:rPr>
      </w:pPr>
      <w:r>
        <w:rPr>
          <w:rFonts w:ascii="Arial" w:hAnsi="Arial" w:cs="Arial"/>
        </w:rPr>
        <w:t>• Decisión: Como p-valor = 0.268 ≥ 0.05, NO SE RECHAZA LA HIPÓTESIS NULA (H</w:t>
      </w:r>
      <w:r>
        <w:rPr>
          <w:rFonts w:ascii="Cambria Math" w:hAnsi="Cambria Math" w:cs="Cambria Math"/>
        </w:rPr>
        <w:t>₀</w:t>
      </w:r>
      <w:r>
        <w:rPr>
          <w:rFonts w:ascii="Arial" w:hAnsi="Arial" w:cs="Arial"/>
        </w:rPr>
        <w:t>).</w:t>
      </w:r>
    </w:p>
    <w:p w14:paraId="3313AABB" w14:textId="77777777" w:rsidR="00D94FC8" w:rsidRPr="00896BD7" w:rsidRDefault="00C33799">
      <w:pPr>
        <w:rPr>
          <w:rFonts w:ascii="Arial" w:hAnsi="Arial" w:cs="Arial"/>
        </w:rPr>
      </w:pPr>
      <w:r>
        <w:rPr>
          <w:rFonts w:ascii="Arial" w:hAnsi="Arial" w:cs="Arial"/>
          <w:b/>
        </w:rPr>
        <w:t>6. Tamaño del efecto para dos grupos independientes:</w:t>
      </w:r>
    </w:p>
    <w:p w14:paraId="1489A945" w14:textId="77777777" w:rsidR="00D94FC8" w:rsidRPr="00896BD7" w:rsidRDefault="00C33799">
      <w:pPr>
        <w:rPr>
          <w:rFonts w:ascii="Arial" w:hAnsi="Arial" w:cs="Arial"/>
        </w:rPr>
      </w:pPr>
      <w:r>
        <w:rPr>
          <w:rFonts w:ascii="Arial" w:hAnsi="Arial" w:cs="Arial"/>
        </w:rPr>
        <w:t xml:space="preserve">• d de Cohen = 0.057 (IC 95 %: [-0.043 ; 0.157]).</w:t>
      </w:r>
    </w:p>
    <w:p w14:paraId="002F6DAC" w14:textId="77777777" w:rsidR="00D94FC8" w:rsidRPr="00896BD7" w:rsidRDefault="00C33799">
      <w:pPr>
        <w:rPr>
          <w:rFonts w:ascii="Arial" w:hAnsi="Arial" w:cs="Arial"/>
        </w:rPr>
      </w:pPr>
      <w:r>
        <w:rPr>
          <w:rFonts w:ascii="Arial" w:hAnsi="Arial" w:cs="Arial"/>
        </w:rPr>
        <w:t>• g de Hedges = 0.057.</w:t>
      </w:r>
    </w:p>
    <w:p w14:paraId="368F1C67" w14:textId="77777777" w:rsidR="00D94FC8" w:rsidRPr="00896BD7" w:rsidRDefault="00C33799">
      <w:pPr>
        <w:rPr>
          <w:rFonts w:ascii="Arial" w:hAnsi="Arial" w:cs="Arial"/>
        </w:rPr>
      </w:pPr>
      <w:r>
        <w:rPr>
          <w:rFonts w:ascii="Arial" w:hAnsi="Arial" w:cs="Arial"/>
        </w:rPr>
        <w:t>• Delta de Glass = 0.055. Magnitud: Efecto trivial.</w:t>
      </w:r>
    </w:p>
    <w:p w14:paraId="2B4168BF" w14:textId="77777777" w:rsidR="00D94FC8" w:rsidRPr="00896BD7" w:rsidRDefault="00C33799">
      <w:pPr>
        <w:rPr>
          <w:rFonts w:ascii="Arial" w:hAnsi="Arial" w:cs="Arial"/>
        </w:rPr>
      </w:pPr>
      <w:r>
        <w:rPr>
          <w:rFonts w:ascii="Arial" w:hAnsi="Arial" w:cs="Arial"/>
          <w:b/>
        </w:rPr>
        <w:t>7. Interpretación en el contexto del problema:</w:t>
      </w:r>
    </w:p>
    <w:p w14:paraId="075C3AA3" w14:textId="77777777" w:rsidR="00D94FC8" w:rsidRPr="00896BD7" w:rsidRDefault="00C33799">
      <w:pPr>
        <w:rPr>
          <w:rFonts w:ascii="Arial" w:hAnsi="Arial" w:cs="Arial"/>
        </w:rPr>
      </w:pPr>
      <w:r>
        <w:rPr>
          <w:rFonts w:ascii="Arial" w:hAnsi="Arial" w:cs="Arial"/>
        </w:rPr>
        <w:t xml:space="preserve">   No existe diferencia estadísticamente significativa en el nivel de bifurcaciones transformadas entre proyectos de organizaciones y usuarios independientes. La capacidad técnica de un código para ser derivado y reutilizado es independiente del respaldo corporativo.</w:t>
      </w:r>
    </w:p>
    <w:p>
      <w:pPr>
        <w:rPr>
          <w:rFonts w:ascii="Arial" w:hAnsi="Arial" w:cs="Arial"/>
        </w:rPr>
      </w:pPr>
      <w:r>
        <w:rPr>
          <w:rFonts w:ascii="Arial" w:hAnsi="Arial" w:cs="Arial"/>
        </w:rPr>
        <w:t xml:space="preserve">   Al volver de la escala logarítmica, el número típico de forks es de unos 1005 en Organizaciones y 962 en Usuarios: apenas 4.5 % más. El intervalo de la diferencia ([-0.03388 ; 0.12171]) equivale a una razón entre 0.97 y 1.13, que incluye el 1 (igualdad), y el efecto es trivial (d = 0.057). Lo único que cambia es la dispersión: los repositorios de usuarios son algo más variables (s = 0.8030 frente a 0.7477), lo que explica el resultado de Levene y el uso de Welch. En la Figura 9, las organizaciones tienen más estrellas en promedio (9243.75 frente a unas 8607 en usuarios, valor calculado por diferencia con la media global); esa diferencia no se contrastó en este informe. Parece que el respaldo institucional da más visibilidad pero no más reutilización del código, aunque son asociaciones y no causas.</w:t>
      </w:r>
    </w:p>
    <w:p w14:paraId="78422B1F"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5130A211" wp14:editId="51C6554B">
            <wp:extent cx="3840480" cy="1214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3840480" cy="1214036"/>
                    </a:xfrm>
                    <a:prstGeom prst="rect">
                      <a:avLst/>
                    </a:prstGeom>
                  </pic:spPr>
                </pic:pic>
              </a:graphicData>
            </a:graphic>
          </wp:inline>
        </w:drawing>
      </w:r>
    </w:p>
    <w:p w14:paraId="1D7D2F09" w14:textId="77777777" w:rsidR="00D94FC8" w:rsidRPr="00896BD7" w:rsidRDefault="00C33799">
      <w:pPr>
        <w:spacing w:before="20" w:after="120"/>
        <w:jc w:val="center"/>
        <w:rPr>
          <w:rFonts w:ascii="Arial" w:hAnsi="Arial" w:cs="Arial"/>
        </w:rPr>
      </w:pPr>
      <w:r>
        <w:rPr>
          <w:rFonts w:ascii="Arial" w:hAnsi="Arial" w:cs="Arial"/>
          <w:b/>
          <w:i/>
          <w:color w:val="555555"/>
          <w:sz w:val="19"/>
        </w:rPr>
        <w:t>Figura 6. Prueba de Levene para igualdad de varianzas de ln_forks_1 (F = 7.352, p = 0.007).</w:t>
      </w:r>
    </w:p>
    <w:p w14:paraId="66823FF6"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40C30666" wp14:editId="14D93CF7">
            <wp:extent cx="3840480" cy="1341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3840480" cy="1341002"/>
                    </a:xfrm>
                    <a:prstGeom prst="rect">
                      <a:avLst/>
                    </a:prstGeom>
                  </pic:spPr>
                </pic:pic>
              </a:graphicData>
            </a:graphic>
          </wp:inline>
        </w:drawing>
      </w:r>
    </w:p>
    <w:p w14:paraId="2DDCBC73"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7. Estadísticas de grupo y Prueba t para muestras independientes (t de Welch = 1.107, p = 0.268) en SPSS.</w:t>
      </w:r>
    </w:p>
    <w:p w14:paraId="083659D4"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6D049543" wp14:editId="29C7DD7B">
            <wp:extent cx="4788346" cy="179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4795089" cy="1793222"/>
                    </a:xfrm>
                    <a:prstGeom prst="rect">
                      <a:avLst/>
                    </a:prstGeom>
                  </pic:spPr>
                </pic:pic>
              </a:graphicData>
            </a:graphic>
          </wp:inline>
        </w:drawing>
      </w:r>
    </w:p>
    <w:p w14:paraId="2820C986" w14:textId="77777777" w:rsidR="00D94FC8" w:rsidRPr="00896BD7" w:rsidRDefault="00C33799">
      <w:pPr>
        <w:spacing w:before="20" w:after="120"/>
        <w:jc w:val="center"/>
        <w:rPr>
          <w:rFonts w:ascii="Arial" w:hAnsi="Arial" w:cs="Arial"/>
        </w:rPr>
      </w:pPr>
      <w:r>
        <w:rPr>
          <w:rFonts w:ascii="Arial" w:hAnsi="Arial" w:cs="Arial"/>
          <w:b/>
          <w:i/>
          <w:color w:val="555555"/>
          <w:sz w:val="19"/>
        </w:rPr>
        <w:t>Figura 8. Tamaños de efecto para muestras independientes (d = 0.057, g = 0.057, Delta = 0.055).</w:t>
      </w:r>
    </w:p>
    <w:p w14:paraId="0CDFD34E"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01126237" wp14:editId="50FCFD90">
            <wp:extent cx="3985858" cy="283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3989393" cy="2840967"/>
                    </a:xfrm>
                    <a:prstGeom prst="rect">
                      <a:avLst/>
                    </a:prstGeom>
                  </pic:spPr>
                </pic:pic>
              </a:graphicData>
            </a:graphic>
          </wp:inline>
        </w:drawing>
      </w:r>
    </w:p>
    <w:p w14:paraId="01B9FE9A"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9. Histograma complementario de la variable original stars con curva normal para repositorios de Organizaciones (μ = 9243.75; σ = 4494.26).</w:t>
      </w:r>
    </w:p>
    <w:p w14:paraId="57691450" w14:textId="77777777" w:rsidR="00D94FC8" w:rsidRPr="00896BD7" w:rsidRDefault="00C33799">
      <w:pPr>
        <w:pStyle w:val="Ttulo1"/>
        <w:spacing w:before="200" w:after="60"/>
        <w:jc w:val="left"/>
        <w:rPr>
          <w:rFonts w:ascii="Arial" w:hAnsi="Arial" w:cs="Arial"/>
        </w:rPr>
      </w:pPr>
      <w:bookmarkStart w:id="6" w:name="_Toc202607"/>
      <w:r>
        <w:rPr>
          <w:rFonts w:ascii="Arial" w:hAnsi="Arial" w:cs="Arial"/>
          <w:color w:val="1B365D"/>
          <w:sz w:val="26"/>
        </w:rPr>
        <w:t>7. Procedimiento 3: Comparación de promedios en muestras relacionadas (ln_stars_1 vs. ln_forks_1)</w:t>
      </w:r>
      <w:bookmarkEnd w:id="6"/>
    </w:p>
    <w:p w14:paraId="753D2E02" w14:textId="77777777" w:rsidR="00D94FC8" w:rsidRPr="00896BD7" w:rsidRDefault="00C33799">
      <w:pPr>
        <w:rPr>
          <w:rFonts w:ascii="Arial" w:hAnsi="Arial" w:cs="Arial"/>
        </w:rPr>
      </w:pPr>
      <w:r>
        <w:rPr>
          <w:rFonts w:ascii="Arial" w:hAnsi="Arial" w:cs="Arial"/>
        </w:rPr>
        <w:t>Se contrasta la popularidad pasiva frente a la adopción técnica sobre las MISMAS unidades de análisis (los 1567 repositorios):</w:t>
      </w:r>
    </w:p>
    <w:p w14:paraId="471AF79D" w14:textId="77777777" w:rsidR="00D94FC8" w:rsidRPr="00896BD7" w:rsidRDefault="00C33799">
      <w:pPr>
        <w:rPr>
          <w:rFonts w:ascii="Arial" w:hAnsi="Arial" w:cs="Arial"/>
        </w:rPr>
      </w:pPr>
      <w:r>
        <w:rPr>
          <w:rFonts w:ascii="Arial" w:hAnsi="Arial" w:cs="Arial"/>
          <w:b/>
        </w:rPr>
        <w:t>1. Justificación metodológica del emparejamiento:</w:t>
      </w:r>
    </w:p>
    <w:p>
      <w:pPr>
        <w:rPr>
          <w:rFonts w:ascii="Arial" w:hAnsi="Arial" w:cs="Arial"/>
        </w:rPr>
      </w:pPr>
      <w:r>
        <w:rPr>
          <w:rFonts w:ascii="Arial" w:hAnsi="Arial" w:cs="Arial"/>
        </w:rPr>
        <w:t xml:space="preserve">   Cada repositorio en GitHub registra a la vez dos métricas: ln_stars_1 y ln_forks_1. Ambas provienen del mismo proyecto, así que cada par de valores corresponde a una sola unidad de análisis (el repositorio) y no se mezclan proyectos distintos. La correlación de Pearson (r = 0.623) confirma que las dos mediciones están relacionadas dentro de cada repositorio, lo que justifica el diseño emparejado. Debe aclararse que no es un diseño antes–después: stars (apoyo pasivo) y forks (reutilización activa) se miden en el mismo momento, por lo que la prueba compara dos indicadores de un mismo proyecto en escala logarítmica, y no el efecto de una intervención. El emparejamiento elimina la variabilidad entre repositorios y evalúa la diferencia dentro de cada proyecto.</w:t>
      </w:r>
    </w:p>
    <w:p w14:paraId="653D1A40" w14:textId="77777777" w:rsidR="00D94FC8" w:rsidRPr="00896BD7" w:rsidRDefault="00C33799">
      <w:pPr>
        <w:rPr>
          <w:rFonts w:ascii="Arial" w:hAnsi="Arial" w:cs="Arial"/>
        </w:rPr>
      </w:pPr>
      <w:r>
        <w:rPr>
          <w:rFonts w:ascii="Arial" w:hAnsi="Arial" w:cs="Arial"/>
          <w:b/>
        </w:rPr>
        <w:t>2. Formulación de hipótesis (Prueba bilateral sobre la diferencia media μ_D, α = 0.05):</w:t>
      </w:r>
    </w:p>
    <w:p w14:paraId="7424EBC7"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μ_D = 0 (El promedio de las diferencias entre estrellas y forks es igual a cero; μ_stars = μ_forks).</w:t>
      </w:r>
    </w:p>
    <w:p w14:paraId="47762C07" w14:textId="77777777" w:rsidR="00D94FC8" w:rsidRPr="00896BD7" w:rsidRDefault="00C33799">
      <w:pPr>
        <w:rPr>
          <w:rFonts w:ascii="Arial" w:hAnsi="Arial" w:cs="Arial"/>
        </w:rPr>
      </w:pPr>
      <w:r>
        <w:rPr>
          <w:rFonts w:ascii="Arial" w:hAnsi="Arial" w:cs="Arial"/>
        </w:rPr>
        <w:lastRenderedPageBreak/>
        <w:t>• H</w:t>
      </w:r>
      <w:r>
        <w:rPr>
          <w:rFonts w:ascii="Cambria Math" w:hAnsi="Cambria Math" w:cs="Cambria Math"/>
        </w:rPr>
        <w:t>₁</w:t>
      </w:r>
      <w:r>
        <w:rPr>
          <w:rFonts w:ascii="Arial" w:hAnsi="Arial" w:cs="Arial"/>
        </w:rPr>
        <w:t>: μ_D ≠ 0 (El promedio de las diferencias difiere de cero; existe discrepancia significativa entre estrellas y forks).</w:t>
      </w:r>
    </w:p>
    <w:p w14:paraId="1B83D067" w14:textId="77777777" w:rsidR="00D94FC8" w:rsidRPr="00896BD7" w:rsidRDefault="00C33799">
      <w:pPr>
        <w:rPr>
          <w:rFonts w:ascii="Arial" w:hAnsi="Arial" w:cs="Arial"/>
        </w:rPr>
      </w:pPr>
      <w:r>
        <w:rPr>
          <w:rFonts w:ascii="Arial" w:hAnsi="Arial" w:cs="Arial"/>
          <w:b/>
        </w:rPr>
        <w:t>3. Estadísticos descriptivos de las muestras emparejadas (n = 1567):</w:t>
      </w:r>
    </w:p>
    <w:p w14:paraId="2ADEBA50" w14:textId="77777777" w:rsidR="00D94FC8" w:rsidRPr="00896BD7" w:rsidRDefault="00C33799">
      <w:pPr>
        <w:rPr>
          <w:rFonts w:ascii="Arial" w:hAnsi="Arial" w:cs="Arial"/>
        </w:rPr>
      </w:pPr>
      <w:r>
        <w:rPr>
          <w:rFonts w:ascii="Arial" w:hAnsi="Arial" w:cs="Arial"/>
        </w:rPr>
        <w:t>• ln_stars_1: Media = 8.977201, Desv. Est. = 0.503141, Error Est. = 0.012710.</w:t>
      </w:r>
    </w:p>
    <w:p w14:paraId="3D9E600F" w14:textId="77777777" w:rsidR="00D94FC8" w:rsidRPr="00896BD7" w:rsidRDefault="00C33799">
      <w:pPr>
        <w:rPr>
          <w:rFonts w:ascii="Arial" w:hAnsi="Arial" w:cs="Arial"/>
        </w:rPr>
      </w:pPr>
      <w:r>
        <w:rPr>
          <w:rFonts w:ascii="Arial" w:hAnsi="Arial" w:cs="Arial"/>
        </w:rPr>
        <w:t>• ln_forks_1: Media = 6.894743, Desv. Est. = 0.772577, Error Est. = 0.019517.</w:t>
      </w:r>
    </w:p>
    <w:p w14:paraId="7FD806D9" w14:textId="77777777" w:rsidR="00D94FC8" w:rsidRPr="00896BD7" w:rsidRDefault="00C33799">
      <w:pPr>
        <w:rPr>
          <w:rFonts w:ascii="Arial" w:hAnsi="Arial" w:cs="Arial"/>
        </w:rPr>
      </w:pPr>
      <w:r>
        <w:rPr>
          <w:rFonts w:ascii="Arial" w:hAnsi="Arial" w:cs="Arial"/>
        </w:rPr>
        <w:t xml:space="preserve">• Correlación de Pearson entre pares: r = 0.623 (p &lt; 0.001). Correlación positiva moderada-fuerte que respalda el emparejamiento.</w:t>
      </w:r>
    </w:p>
    <w:p w14:paraId="1D8BA626" w14:textId="77777777" w:rsidR="00D94FC8" w:rsidRPr="00896BD7" w:rsidRDefault="00C33799">
      <w:pPr>
        <w:rPr>
          <w:rFonts w:ascii="Arial" w:hAnsi="Arial" w:cs="Arial"/>
        </w:rPr>
      </w:pPr>
      <w:r>
        <w:rPr>
          <w:rFonts w:ascii="Arial" w:hAnsi="Arial" w:cs="Arial"/>
        </w:rPr>
        <w:t>• Diferencia emparejada (D = ln_stars_1 - ln_forks_1): Media D̄ = 2.082458, Desv. Est. s_D = 0.604453, Error Est. SE_D = 0.015270.</w:t>
      </w:r>
    </w:p>
    <w:p w14:paraId="1171C843" w14:textId="77777777" w:rsidR="00D94FC8" w:rsidRPr="00896BD7" w:rsidRDefault="00C33799">
      <w:pPr>
        <w:rPr>
          <w:rFonts w:ascii="Arial" w:hAnsi="Arial" w:cs="Arial"/>
        </w:rPr>
      </w:pPr>
      <w:r>
        <w:rPr>
          <w:rFonts w:ascii="Arial" w:hAnsi="Arial" w:cs="Arial"/>
        </w:rPr>
        <w:t xml:space="preserve">• Intervalo de confianza al 95 % de la diferencia: [2.052507 ; 2.112409].</w:t>
      </w:r>
    </w:p>
    <w:p w14:paraId="551C7E9E" w14:textId="77777777" w:rsidR="00D94FC8" w:rsidRPr="00896BD7" w:rsidRDefault="00C33799">
      <w:pPr>
        <w:rPr>
          <w:rFonts w:ascii="Arial" w:hAnsi="Arial" w:cs="Arial"/>
        </w:rPr>
      </w:pPr>
      <w:r>
        <w:rPr>
          <w:rFonts w:ascii="Arial" w:hAnsi="Arial" w:cs="Arial"/>
          <w:b/>
        </w:rPr>
        <w:t>4. Verificación de normalidad de las diferencias:</w:t>
      </w:r>
    </w:p>
    <w:p w14:paraId="413249CA" w14:textId="77777777" w:rsidR="00D94FC8" w:rsidRPr="00896BD7" w:rsidRDefault="00C33799">
      <w:pPr>
        <w:rPr>
          <w:rFonts w:ascii="Arial" w:hAnsi="Arial" w:cs="Arial"/>
        </w:rPr>
      </w:pPr>
      <w:r>
        <w:rPr>
          <w:rFonts w:ascii="Arial" w:hAnsi="Arial" w:cs="Arial"/>
        </w:rPr>
        <w:t>• Shapiro–Wilk sobre D: W = 0.9662 (gl = 1567, p &lt; 0.001). Por el TLC, con n = 1567 la media de las diferencias es aproximadamente normal.</w:t>
      </w:r>
    </w:p>
    <w:p w14:paraId="4145B4C8" w14:textId="77777777" w:rsidR="00D94FC8" w:rsidRPr="00896BD7" w:rsidRDefault="00C33799">
      <w:pPr>
        <w:rPr>
          <w:rFonts w:ascii="Arial" w:hAnsi="Arial" w:cs="Arial"/>
        </w:rPr>
      </w:pPr>
      <w:r>
        <w:rPr>
          <w:rFonts w:ascii="Arial" w:hAnsi="Arial" w:cs="Arial"/>
          <w:b/>
        </w:rPr>
        <w:t>5. Aplicación de la prueba t para muestras relacionadas:</w:t>
      </w:r>
    </w:p>
    <w:p w14:paraId="2A3533CD" w14:textId="77777777" w:rsidR="00D94FC8" w:rsidRPr="00896BD7" w:rsidRDefault="00C33799">
      <w:pPr>
        <w:rPr>
          <w:rFonts w:ascii="Arial" w:hAnsi="Arial" w:cs="Arial"/>
        </w:rPr>
      </w:pPr>
      <w:r>
        <w:rPr>
          <w:rFonts w:ascii="Arial" w:hAnsi="Arial" w:cs="Arial"/>
        </w:rPr>
        <w:t>• Estadístico t = D̄ / SE_D = 2.082458 / 0.015270 = 136.379.</w:t>
      </w:r>
    </w:p>
    <w:p w14:paraId="5610FC77" w14:textId="77777777" w:rsidR="00D94FC8" w:rsidRPr="00896BD7" w:rsidRDefault="00C33799">
      <w:pPr>
        <w:rPr>
          <w:rFonts w:ascii="Arial" w:hAnsi="Arial" w:cs="Arial"/>
        </w:rPr>
      </w:pPr>
      <w:r>
        <w:rPr>
          <w:rFonts w:ascii="Arial" w:hAnsi="Arial" w:cs="Arial"/>
        </w:rPr>
        <w:t>• Grados de libertad: gl = n - 1 = 1566.</w:t>
      </w:r>
    </w:p>
    <w:p w14:paraId="64B23586" w14:textId="77777777" w:rsidR="00D94FC8" w:rsidRPr="00896BD7" w:rsidRDefault="00C33799">
      <w:pPr>
        <w:rPr>
          <w:rFonts w:ascii="Arial" w:hAnsi="Arial" w:cs="Arial"/>
        </w:rPr>
      </w:pPr>
      <w:r>
        <w:rPr>
          <w:rFonts w:ascii="Arial" w:hAnsi="Arial" w:cs="Arial"/>
        </w:rPr>
        <w:t>• p-valor obtenido en SPSS: p &lt; 0.001 (bilateral y unilateral).</w:t>
      </w:r>
    </w:p>
    <w:p w14:paraId="23BC3CC8" w14:textId="77777777" w:rsidR="00D94FC8" w:rsidRPr="00896BD7" w:rsidRDefault="00C33799">
      <w:pPr>
        <w:rPr>
          <w:rFonts w:ascii="Arial" w:hAnsi="Arial" w:cs="Arial"/>
        </w:rPr>
      </w:pPr>
      <w:r>
        <w:rPr>
          <w:rFonts w:ascii="Arial" w:hAnsi="Arial" w:cs="Arial"/>
          <w:b/>
        </w:rPr>
        <w:t>6. Toma de decisión estadística según la regla:</w:t>
      </w:r>
    </w:p>
    <w:p w14:paraId="07749C1A" w14:textId="77777777" w:rsidR="00D94FC8" w:rsidRPr="00896BD7" w:rsidRDefault="00C33799">
      <w:pPr>
        <w:rPr>
          <w:rFonts w:ascii="Arial" w:hAnsi="Arial" w:cs="Arial"/>
        </w:rPr>
      </w:pPr>
      <w:r>
        <w:rPr>
          <w:rFonts w:ascii="Arial" w:hAnsi="Arial" w:cs="Arial"/>
        </w:rPr>
        <w:t>• Regla: Si p-valor &lt; α (0.05) → Se rechaza H</w:t>
      </w:r>
      <w:r>
        <w:rPr>
          <w:rFonts w:ascii="Cambria Math" w:hAnsi="Cambria Math" w:cs="Cambria Math"/>
        </w:rPr>
        <w:t>₀</w:t>
      </w:r>
      <w:r>
        <w:rPr>
          <w:rFonts w:ascii="Arial" w:hAnsi="Arial" w:cs="Arial"/>
        </w:rPr>
        <w:t>. Decisión: Como p-valor &lt; 0.001 &lt; 0.05, SE RECHAZA H</w:t>
      </w:r>
      <w:r>
        <w:rPr>
          <w:rFonts w:ascii="Cambria Math" w:hAnsi="Cambria Math" w:cs="Cambria Math"/>
        </w:rPr>
        <w:t>₀</w:t>
      </w:r>
      <w:r>
        <w:rPr>
          <w:rFonts w:ascii="Arial" w:hAnsi="Arial" w:cs="Arial"/>
        </w:rPr>
        <w:t xml:space="preserve"> a favor de H</w:t>
      </w:r>
      <w:r>
        <w:rPr>
          <w:rFonts w:ascii="Cambria Math" w:hAnsi="Cambria Math" w:cs="Cambria Math"/>
        </w:rPr>
        <w:t>₁</w:t>
      </w:r>
      <w:r>
        <w:rPr>
          <w:rFonts w:ascii="Arial" w:hAnsi="Arial" w:cs="Arial"/>
        </w:rPr>
        <w:t>.</w:t>
      </w:r>
    </w:p>
    <w:p w14:paraId="1F9543F3" w14:textId="77777777" w:rsidR="00D94FC8" w:rsidRPr="00896BD7" w:rsidRDefault="00C33799">
      <w:pPr>
        <w:rPr>
          <w:rFonts w:ascii="Arial" w:hAnsi="Arial" w:cs="Arial"/>
        </w:rPr>
      </w:pPr>
      <w:r>
        <w:rPr>
          <w:rFonts w:ascii="Arial" w:hAnsi="Arial" w:cs="Arial"/>
          <w:b/>
        </w:rPr>
        <w:t>7. Tamaño del efecto para muestras emparejadas:</w:t>
      </w:r>
    </w:p>
    <w:p w14:paraId="3C5C8517" w14:textId="77777777" w:rsidR="00D94FC8" w:rsidRPr="00896BD7" w:rsidRDefault="00C33799">
      <w:pPr>
        <w:rPr>
          <w:rFonts w:ascii="Arial" w:hAnsi="Arial" w:cs="Arial"/>
        </w:rPr>
      </w:pPr>
      <w:r>
        <w:rPr>
          <w:rFonts w:ascii="Arial" w:hAnsi="Arial" w:cs="Arial"/>
        </w:rPr>
        <w:t xml:space="preserve">• d de Cohen = D̄ / s_D = 3.445 (IC 95 %: [3.315 ; 3.575]).</w:t>
      </w:r>
    </w:p>
    <w:p w14:paraId="446A8598" w14:textId="77777777" w:rsidR="00D94FC8" w:rsidRPr="00896BD7" w:rsidRDefault="00C33799">
      <w:pPr>
        <w:rPr>
          <w:rFonts w:ascii="Arial" w:hAnsi="Arial" w:cs="Arial"/>
        </w:rPr>
      </w:pPr>
      <w:r>
        <w:rPr>
          <w:rFonts w:ascii="Arial" w:hAnsi="Arial" w:cs="Arial"/>
        </w:rPr>
        <w:t>• g de Hedges = 3.444. Magnitud: Efecto muy grande (d &gt;&gt; 0.80).</w:t>
      </w:r>
    </w:p>
    <w:p w14:paraId="4593E193" w14:textId="77777777" w:rsidR="00D94FC8" w:rsidRPr="00896BD7" w:rsidRDefault="00C33799">
      <w:pPr>
        <w:rPr>
          <w:rFonts w:ascii="Arial" w:hAnsi="Arial" w:cs="Arial"/>
        </w:rPr>
      </w:pPr>
      <w:r>
        <w:rPr>
          <w:rFonts w:ascii="Arial" w:hAnsi="Arial" w:cs="Arial"/>
          <w:b/>
        </w:rPr>
        <w:t xml:space="preserve">8. Interpretación en el contexto del problema:</w:t>
      </w:r>
    </w:p>
    <w:p w14:paraId="55419792" w14:textId="77777777" w:rsidR="00D94FC8" w:rsidRPr="00896BD7" w:rsidRDefault="00C33799">
      <w:pPr>
        <w:rPr>
          <w:rFonts w:ascii="Arial" w:hAnsi="Arial" w:cs="Arial"/>
        </w:rPr>
      </w:pPr>
      <w:r>
        <w:rPr>
          <w:rFonts w:ascii="Arial" w:hAnsi="Arial" w:cs="Arial"/>
        </w:rPr>
        <w:t xml:space="preserve">   Existe una diferencia muy grande a favor de las estrellas sobre los forks. Una diferencia logarítmica de 2.0825 equivale a e^(2.0825) ≈ 8.02, es decir, aproximadamente 8 veces más estrellas que bifurcaciones por repositorio (razón entre medias geométricas de X + 1). Esto significa que dar una estrella (apoyo pasivo) es unas 8 veces más frecuente que clonar el proyecto para desarrollarlo (reutilización activa).</w:t>
      </w:r>
    </w:p>
    <w:p>
      <w:pPr>
        <w:rPr>
          <w:rFonts w:ascii="Arial" w:hAnsi="Arial" w:cs="Arial"/>
        </w:rPr>
      </w:pPr>
      <w:r>
        <w:rPr>
          <w:rFonts w:ascii="Arial" w:hAnsi="Arial" w:cs="Arial"/>
        </w:rPr>
        <w:t xml:space="preserve">   Al volver de la escala logarítmica, el repositorio típico tiene unas 7919 estrellas y unas 986 bifurcaciones. El intervalo de la diferencia ([2.052507 ; 2.112409]) equivale a entre 7.8 y 8.3 veces, así que «unas 8 estrellas por cada fork» es una estimación precisa. La correlación r = 0.623 significa que cerca de 39 % de la variación de un indicador se comparte con el otro: los repositorios muy populares suelen ser también muy bifurcados, pero la relación no es perfecta. Como estrellas y forks miden acciones distintas, que se rechace H</w:t>
      </w:r>
      <w:r>
        <w:rPr>
          <w:rFonts w:ascii="Cambria Math" w:hAnsi="Cambria Math" w:cs="Cambria Math"/>
        </w:rPr>
        <w:t xml:space="preserve">₀</w:t>
      </w:r>
      <w:r>
        <w:rPr>
          <w:rFonts w:ascii="Arial" w:hAnsi="Arial" w:cs="Arial"/>
        </w:rPr>
        <w:t xml:space="preserve"> era esperable; lo más informativo es la razón entre ambos y su correlación.</w:t>
      </w:r>
    </w:p>
    <w:p w14:paraId="5060ADB4"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169EE9CA" wp14:editId="30C0B48E">
            <wp:extent cx="5765769" cy="23241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8"/>
                    <a:stretch>
                      <a:fillRect/>
                    </a:stretch>
                  </pic:blipFill>
                  <pic:spPr>
                    <a:xfrm>
                      <a:off x="0" y="0"/>
                      <a:ext cx="5776572" cy="2328455"/>
                    </a:xfrm>
                    <a:prstGeom prst="rect">
                      <a:avLst/>
                    </a:prstGeom>
                  </pic:spPr>
                </pic:pic>
              </a:graphicData>
            </a:graphic>
          </wp:inline>
        </w:drawing>
      </w:r>
    </w:p>
    <w:p w14:paraId="27F4C149"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10. Estadísticas de muestras emparejadas, correlación (r = 0.623) y Prueba t de muestras relacionadas (t = 136.379, p &lt; 0.001) en SPSS.</w:t>
      </w:r>
    </w:p>
    <w:p w14:paraId="73A7E0C3"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4949713A" wp14:editId="75FE6E65">
            <wp:extent cx="5115188" cy="3028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5121742" cy="3032831"/>
                    </a:xfrm>
                    <a:prstGeom prst="rect">
                      <a:avLst/>
                    </a:prstGeom>
                  </pic:spPr>
                </pic:pic>
              </a:graphicData>
            </a:graphic>
          </wp:inline>
        </w:drawing>
      </w:r>
    </w:p>
    <w:p w14:paraId="0A66917A" w14:textId="77777777" w:rsidR="00D94FC8" w:rsidRPr="00896BD7" w:rsidRDefault="00C33799">
      <w:pPr>
        <w:spacing w:before="20" w:after="120"/>
        <w:jc w:val="center"/>
        <w:rPr>
          <w:rFonts w:ascii="Arial" w:hAnsi="Arial" w:cs="Arial"/>
        </w:rPr>
      </w:pPr>
      <w:r>
        <w:rPr>
          <w:rFonts w:ascii="Arial" w:hAnsi="Arial" w:cs="Arial"/>
          <w:b/>
          <w:i/>
          <w:color w:val="555555"/>
          <w:sz w:val="19"/>
        </w:rPr>
        <w:t>Figura 11. Resultados de significancia y tamaños de efecto de muestras emparejadas (d de Cohen = 3.445, g = 3.444).</w:t>
      </w:r>
    </w:p>
    <w:p w14:paraId="1BE7B9E2" w14:textId="77777777" w:rsidR="00D94FC8" w:rsidRPr="00896BD7" w:rsidRDefault="00C33799">
      <w:pPr>
        <w:pStyle w:val="Ttulo1"/>
        <w:spacing w:before="200" w:after="60"/>
        <w:jc w:val="left"/>
        <w:rPr>
          <w:rFonts w:ascii="Arial" w:hAnsi="Arial" w:cs="Arial"/>
        </w:rPr>
      </w:pPr>
      <w:bookmarkStart w:id="7" w:name="_Toc202608"/>
      <w:r>
        <w:rPr>
          <w:rFonts w:ascii="Arial" w:hAnsi="Arial" w:cs="Arial"/>
          <w:color w:val="1B365D"/>
          <w:sz w:val="26"/>
        </w:rPr>
        <w:t xml:space="preserve">8. Procedimiento 4: Análisis de Varianza (ANOVA) para tres grupos independientes (ln_open_issues_1)</w:t>
      </w:r>
      <w:bookmarkEnd w:id="7"/>
    </w:p>
    <w:p w14:paraId="23D2CE4C" w14:textId="77777777" w:rsidR="00D94FC8" w:rsidRPr="00896BD7" w:rsidRDefault="00C33799">
      <w:pPr>
        <w:rPr>
          <w:rFonts w:ascii="Arial" w:hAnsi="Arial" w:cs="Arial"/>
        </w:rPr>
      </w:pPr>
      <w:r>
        <w:rPr>
          <w:rFonts w:ascii="Arial" w:hAnsi="Arial" w:cs="Arial"/>
        </w:rPr>
        <w:t>Se contrasta la carga de incidencias abiertas transformadas según el marco de licenciamiento (MIT, Apache-2.0 y GPL-3.0):</w:t>
      </w:r>
    </w:p>
    <w:p w14:paraId="6941001D" w14:textId="77777777" w:rsidR="00D94FC8" w:rsidRPr="00896BD7" w:rsidRDefault="00C33799">
      <w:pPr>
        <w:rPr>
          <w:rFonts w:ascii="Arial" w:hAnsi="Arial" w:cs="Arial"/>
        </w:rPr>
      </w:pPr>
      <w:r>
        <w:rPr>
          <w:rFonts w:ascii="Arial" w:hAnsi="Arial" w:cs="Arial"/>
          <w:b/>
        </w:rPr>
        <w:t>1. Formulación de hipótesis (Nivel de significancia α = 0.05):</w:t>
      </w:r>
    </w:p>
    <w:p w14:paraId="7DAE55D0" w14:textId="77777777" w:rsidR="00D94FC8" w:rsidRPr="00896BD7" w:rsidRDefault="00C33799">
      <w:pPr>
        <w:rPr>
          <w:rFonts w:ascii="Arial" w:hAnsi="Arial" w:cs="Arial"/>
        </w:rPr>
      </w:pPr>
      <w:r>
        <w:rPr>
          <w:rFonts w:ascii="Arial" w:hAnsi="Arial" w:cs="Arial"/>
        </w:rPr>
        <w:t>• H</w:t>
      </w:r>
      <w:r>
        <w:rPr>
          <w:rFonts w:ascii="Cambria Math" w:hAnsi="Cambria Math" w:cs="Cambria Math"/>
        </w:rPr>
        <w:t>₀</w:t>
      </w:r>
      <w:r>
        <w:rPr>
          <w:rFonts w:ascii="Arial" w:hAnsi="Arial" w:cs="Arial"/>
        </w:rPr>
        <w:t>: μ_MIT = μ_Apache = μ_GPL (Los promedios de ln_open_issues_1 son iguales entre las tres licencias).</w:t>
      </w:r>
    </w:p>
    <w:p w14:paraId="241F0161" w14:textId="77777777" w:rsidR="00D94FC8" w:rsidRPr="00896BD7" w:rsidRDefault="00C33799">
      <w:pPr>
        <w:rPr>
          <w:rFonts w:ascii="Arial" w:hAnsi="Arial" w:cs="Arial"/>
        </w:rPr>
      </w:pPr>
      <w:r>
        <w:rPr>
          <w:rFonts w:ascii="Arial" w:hAnsi="Arial" w:cs="Arial"/>
        </w:rPr>
        <w:t>• H</w:t>
      </w:r>
      <w:r>
        <w:rPr>
          <w:rFonts w:ascii="Cambria Math" w:hAnsi="Cambria Math" w:cs="Cambria Math"/>
        </w:rPr>
        <w:t>₁</w:t>
      </w:r>
      <w:r>
        <w:rPr>
          <w:rFonts w:ascii="Arial" w:hAnsi="Arial" w:cs="Arial"/>
        </w:rPr>
        <w:t>: Al menos un promedio poblacional de ln_open_issues_1 es diferente.</w:t>
      </w:r>
    </w:p>
    <w:p w14:paraId="5484A09B" w14:textId="77777777" w:rsidR="00D94FC8" w:rsidRPr="00896BD7" w:rsidRDefault="00C33799">
      <w:pPr>
        <w:rPr>
          <w:rFonts w:ascii="Arial" w:hAnsi="Arial" w:cs="Arial"/>
        </w:rPr>
      </w:pPr>
      <w:r>
        <w:rPr>
          <w:rFonts w:ascii="Arial" w:hAnsi="Arial" w:cs="Arial"/>
          <w:b/>
        </w:rPr>
        <w:t xml:space="preserve">2. Estadísticos descriptivos por grupo de licencia (N = 1063):</w:t>
      </w:r>
    </w:p>
    <w:p w14:paraId="7F124740" w14:textId="77777777" w:rsidR="00D94FC8" w:rsidRPr="00896BD7" w:rsidRDefault="00C33799">
      <w:pPr>
        <w:rPr>
          <w:rFonts w:ascii="Arial" w:hAnsi="Arial" w:cs="Arial"/>
        </w:rPr>
      </w:pPr>
      <w:r>
        <w:rPr>
          <w:rFonts w:ascii="Arial" w:hAnsi="Arial" w:cs="Arial"/>
        </w:rPr>
        <w:lastRenderedPageBreak/>
        <w:t>• Licencia MIT (lic3 = 1.00; n</w:t>
      </w:r>
      <w:r>
        <w:rPr>
          <w:rFonts w:ascii="Cambria Math" w:hAnsi="Cambria Math" w:cs="Cambria Math"/>
        </w:rPr>
        <w:t>₁</w:t>
      </w:r>
      <w:r>
        <w:rPr>
          <w:rFonts w:ascii="Arial" w:hAnsi="Arial" w:cs="Arial"/>
        </w:rPr>
        <w:t xml:space="preserve"> = 546): Media x̄</w:t>
      </w:r>
      <w:r>
        <w:rPr>
          <w:rFonts w:ascii="Cambria Math" w:hAnsi="Cambria Math" w:cs="Cambria Math"/>
        </w:rPr>
        <w:t>₁</w:t>
      </w:r>
      <w:r>
        <w:rPr>
          <w:rFonts w:ascii="Arial" w:hAnsi="Arial" w:cs="Arial"/>
        </w:rPr>
        <w:t xml:space="preserve"> = 4.0227, Desv. Est. s</w:t>
      </w:r>
      <w:r>
        <w:rPr>
          <w:rFonts w:ascii="Cambria Math" w:hAnsi="Cambria Math" w:cs="Cambria Math"/>
        </w:rPr>
        <w:t>₁</w:t>
      </w:r>
      <w:r>
        <w:rPr>
          <w:rFonts w:ascii="Arial" w:hAnsi="Arial" w:cs="Arial"/>
        </w:rPr>
        <w:t xml:space="preserve"> = 1.4769, Error Est. = 0.0632, IC 95%: [3.8985 ; 4.1469].</w:t>
      </w:r>
    </w:p>
    <w:p w14:paraId="7B44667F" w14:textId="77777777" w:rsidR="00D94FC8" w:rsidRPr="00896BD7" w:rsidRDefault="00C33799">
      <w:pPr>
        <w:rPr>
          <w:rFonts w:ascii="Arial" w:hAnsi="Arial" w:cs="Arial"/>
        </w:rPr>
      </w:pPr>
      <w:r>
        <w:rPr>
          <w:rFonts w:ascii="Arial" w:hAnsi="Arial" w:cs="Arial"/>
        </w:rPr>
        <w:t>• Licencia Apache-2.0 (lic3 = 2.00; n</w:t>
      </w:r>
      <w:r>
        <w:rPr>
          <w:rFonts w:ascii="Cambria Math" w:hAnsi="Cambria Math" w:cs="Cambria Math"/>
        </w:rPr>
        <w:t>₂</w:t>
      </w:r>
      <w:r>
        <w:rPr>
          <w:rFonts w:ascii="Arial" w:hAnsi="Arial" w:cs="Arial"/>
        </w:rPr>
        <w:t xml:space="preserve"> = 405): Media x̄</w:t>
      </w:r>
      <w:r>
        <w:rPr>
          <w:rFonts w:ascii="Cambria Math" w:hAnsi="Cambria Math" w:cs="Cambria Math"/>
        </w:rPr>
        <w:t>₂</w:t>
      </w:r>
      <w:r>
        <w:rPr>
          <w:rFonts w:ascii="Arial" w:hAnsi="Arial" w:cs="Arial"/>
        </w:rPr>
        <w:t xml:space="preserve"> = 4.5735, Desv. Est. s</w:t>
      </w:r>
      <w:r>
        <w:rPr>
          <w:rFonts w:ascii="Cambria Math" w:hAnsi="Cambria Math" w:cs="Cambria Math"/>
        </w:rPr>
        <w:t>₂</w:t>
      </w:r>
      <w:r>
        <w:rPr>
          <w:rFonts w:ascii="Arial" w:hAnsi="Arial" w:cs="Arial"/>
        </w:rPr>
        <w:t xml:space="preserve"> = 1.3876, Error Est. = 0.0689, IC 95%: [4.4379 ; 4.7090].</w:t>
      </w:r>
    </w:p>
    <w:p w14:paraId="0A1D06E8" w14:textId="77777777" w:rsidR="00D94FC8" w:rsidRPr="00896BD7" w:rsidRDefault="00C33799">
      <w:pPr>
        <w:rPr>
          <w:rFonts w:ascii="Arial" w:hAnsi="Arial" w:cs="Arial"/>
        </w:rPr>
      </w:pPr>
      <w:r>
        <w:rPr>
          <w:rFonts w:ascii="Arial" w:hAnsi="Arial" w:cs="Arial"/>
        </w:rPr>
        <w:t>• Licencia GPL-3.0 (lic3 = 3.00; n</w:t>
      </w:r>
      <w:r>
        <w:rPr>
          <w:rFonts w:ascii="Cambria Math" w:hAnsi="Cambria Math" w:cs="Cambria Math"/>
        </w:rPr>
        <w:t>₃</w:t>
      </w:r>
      <w:r>
        <w:rPr>
          <w:rFonts w:ascii="Arial" w:hAnsi="Arial" w:cs="Arial"/>
        </w:rPr>
        <w:t xml:space="preserve"> = 112): Media x̄</w:t>
      </w:r>
      <w:r>
        <w:rPr>
          <w:rFonts w:ascii="Cambria Math" w:hAnsi="Cambria Math" w:cs="Cambria Math"/>
        </w:rPr>
        <w:t>₃</w:t>
      </w:r>
      <w:r>
        <w:rPr>
          <w:rFonts w:ascii="Arial" w:hAnsi="Arial" w:cs="Arial"/>
        </w:rPr>
        <w:t xml:space="preserve"> = 4.3647, Desv. Est. s</w:t>
      </w:r>
      <w:r>
        <w:rPr>
          <w:rFonts w:ascii="Cambria Math" w:hAnsi="Cambria Math" w:cs="Cambria Math"/>
        </w:rPr>
        <w:t>₃</w:t>
      </w:r>
      <w:r>
        <w:rPr>
          <w:rFonts w:ascii="Arial" w:hAnsi="Arial" w:cs="Arial"/>
        </w:rPr>
        <w:t xml:space="preserve"> = 1.3920, Error Est. = 0.1315, IC 95%: [4.1041 ; 4.6254].</w:t>
      </w:r>
    </w:p>
    <w:p w14:paraId="169EB3FF" w14:textId="77777777" w:rsidR="00D94FC8" w:rsidRPr="00896BD7" w:rsidRDefault="00C33799">
      <w:pPr>
        <w:rPr>
          <w:rFonts w:ascii="Arial" w:hAnsi="Arial" w:cs="Arial"/>
        </w:rPr>
      </w:pPr>
      <w:r>
        <w:rPr>
          <w:rFonts w:ascii="Arial" w:hAnsi="Arial" w:cs="Arial"/>
        </w:rPr>
        <w:t xml:space="preserve">• Total analizado (N = 1063): Media = 4.2686, Desv. Est. = 1.4567, Error Est. = 0.0447, IC 95%: [4.1809 ; 4.3563].</w:t>
      </w:r>
    </w:p>
    <w:p w14:paraId="616BFC93" w14:textId="77777777" w:rsidR="00D94FC8" w:rsidRPr="00896BD7" w:rsidRDefault="00C33799">
      <w:pPr>
        <w:rPr>
          <w:rFonts w:ascii="Arial" w:hAnsi="Arial" w:cs="Arial"/>
        </w:rPr>
      </w:pPr>
      <w:r>
        <w:rPr>
          <w:rFonts w:ascii="Arial" w:hAnsi="Arial" w:cs="Arial"/>
          <w:b/>
        </w:rPr>
        <w:t>3. Verificación de supuestos:</w:t>
      </w:r>
    </w:p>
    <w:p w14:paraId="06C5836D" w14:textId="77777777" w:rsidR="00D94FC8" w:rsidRPr="00896BD7" w:rsidRDefault="00C33799">
      <w:pPr>
        <w:rPr>
          <w:rFonts w:ascii="Arial" w:hAnsi="Arial" w:cs="Arial"/>
        </w:rPr>
      </w:pPr>
      <w:r>
        <w:rPr>
          <w:rFonts w:ascii="Arial" w:hAnsi="Arial" w:cs="Arial"/>
        </w:rPr>
        <w:t>• Normalidad (Shapiro–Wilk): MIT W = 0.9817 (p &lt; 0.001); Apache-2.0 W = 0.9760 (p &lt; 0.001); GPL-3.0 W = 0.9801 (p = 0.0930, cumple normalidad al 5 %). Al ser grupos grandes (n ≥ 112), el ANOVA es estable frente a esta desviación.</w:t>
      </w:r>
    </w:p>
    <w:p w14:paraId="624F8EEA" w14:textId="77777777" w:rsidR="00D94FC8" w:rsidRPr="00896BD7" w:rsidRDefault="00C33799">
      <w:pPr>
        <w:rPr>
          <w:rFonts w:ascii="Arial" w:hAnsi="Arial" w:cs="Arial"/>
        </w:rPr>
      </w:pPr>
      <w:r>
        <w:rPr>
          <w:rFonts w:ascii="Arial" w:hAnsi="Arial" w:cs="Arial"/>
        </w:rPr>
        <w:t>• Homogeneidad de varianzas (Prueba de Levene): Estadístico F = 1.109, gl1 = 2, gl2 = 1060, p = 0.330. Como p = 0.330 ≥ 0.05, NO SE RECHAZA la homocedasticidad. Las varianzas poblacionales son homogéneas.</w:t>
      </w:r>
    </w:p>
    <w:p w14:paraId="212A8831" w14:textId="77777777" w:rsidR="00D94FC8" w:rsidRPr="00896BD7" w:rsidRDefault="00C33799">
      <w:pPr>
        <w:rPr>
          <w:rFonts w:ascii="Arial" w:hAnsi="Arial" w:cs="Arial"/>
        </w:rPr>
      </w:pPr>
      <w:r>
        <w:rPr>
          <w:rFonts w:ascii="Arial" w:hAnsi="Arial" w:cs="Arial"/>
          <w:b/>
        </w:rPr>
        <w:t>4. Aplicación del ANOVA de un factor y prueba de Welch:</w:t>
      </w:r>
    </w:p>
    <w:p w14:paraId="77B789D4" w14:textId="77777777" w:rsidR="00D94FC8" w:rsidRPr="00896BD7" w:rsidRDefault="00C33799">
      <w:pPr>
        <w:rPr>
          <w:rFonts w:ascii="Arial" w:hAnsi="Arial" w:cs="Arial"/>
        </w:rPr>
      </w:pPr>
      <w:r>
        <w:rPr>
          <w:rFonts w:ascii="Arial" w:hAnsi="Arial" w:cs="Arial"/>
        </w:rPr>
        <w:t>• Suma de cuadrados Entre Grupos: SS_entre = 71.698, gl = 2, Media cuadrática MS_entre = 35.849.</w:t>
      </w:r>
    </w:p>
    <w:p w14:paraId="572F7589" w14:textId="77777777" w:rsidR="00D94FC8" w:rsidRPr="00896BD7" w:rsidRDefault="00C33799">
      <w:pPr>
        <w:rPr>
          <w:rFonts w:ascii="Arial" w:hAnsi="Arial" w:cs="Arial"/>
        </w:rPr>
      </w:pPr>
      <w:r>
        <w:rPr>
          <w:rFonts w:ascii="Arial" w:hAnsi="Arial" w:cs="Arial"/>
        </w:rPr>
        <w:t>• Suma de cuadrados Dentro de Grupos: SS_dentro = 2181.693, gl = 1060, Media cuadrática MS_dentro = 2.058.</w:t>
      </w:r>
    </w:p>
    <w:p w14:paraId="52BCFBC9" w14:textId="77777777" w:rsidR="00D94FC8" w:rsidRPr="00896BD7" w:rsidRDefault="00C33799">
      <w:pPr>
        <w:rPr>
          <w:rFonts w:ascii="Arial" w:hAnsi="Arial" w:cs="Arial"/>
        </w:rPr>
      </w:pPr>
      <w:r>
        <w:rPr>
          <w:rFonts w:ascii="Arial" w:hAnsi="Arial" w:cs="Arial"/>
        </w:rPr>
        <w:t>• Suma de cuadrados Total: SS_total = 2253.391, gl = 1062.</w:t>
      </w:r>
    </w:p>
    <w:p w14:paraId="371420E4" w14:textId="77777777" w:rsidR="00D94FC8" w:rsidRPr="00896BD7" w:rsidRDefault="00C33799">
      <w:pPr>
        <w:rPr>
          <w:rFonts w:ascii="Arial" w:hAnsi="Arial" w:cs="Arial"/>
        </w:rPr>
      </w:pPr>
      <w:r>
        <w:rPr>
          <w:rFonts w:ascii="Arial" w:hAnsi="Arial" w:cs="Arial"/>
        </w:rPr>
        <w:t xml:space="preserve">• Estadístico F calculado: F = MS_entre / MS_dentro = 35.849 / 2.058 = 17.418.</w:t>
      </w:r>
    </w:p>
    <w:p w14:paraId="1A3EA0A0" w14:textId="77777777" w:rsidR="00D94FC8" w:rsidRPr="00896BD7" w:rsidRDefault="00C33799">
      <w:pPr>
        <w:rPr>
          <w:rFonts w:ascii="Arial" w:hAnsi="Arial" w:cs="Arial"/>
        </w:rPr>
      </w:pPr>
      <w:r>
        <w:rPr>
          <w:rFonts w:ascii="Arial" w:hAnsi="Arial" w:cs="Arial"/>
        </w:rPr>
        <w:t>• p-valor obtenido en SPSS: p &lt; 0.001.</w:t>
      </w:r>
    </w:p>
    <w:p w14:paraId="6FA4CCC6" w14:textId="77777777" w:rsidR="00D94FC8" w:rsidRPr="00896BD7" w:rsidRDefault="00C33799">
      <w:pPr>
        <w:rPr>
          <w:rFonts w:ascii="Arial" w:hAnsi="Arial" w:cs="Arial"/>
        </w:rPr>
      </w:pPr>
      <w:r>
        <w:rPr>
          <w:rFonts w:ascii="Arial" w:hAnsi="Arial" w:cs="Arial"/>
        </w:rPr>
        <w:t>• Prueba robusta de Welch: F_Welch = 17.511 (gl1 = 2, gl2 = 314.565, p &lt; 0.001), con el mismo resultado.</w:t>
      </w:r>
    </w:p>
    <w:p w14:paraId="2050C00B" w14:textId="77777777" w:rsidR="00D94FC8" w:rsidRPr="00896BD7" w:rsidRDefault="00C33799">
      <w:pPr>
        <w:rPr>
          <w:rFonts w:ascii="Arial" w:hAnsi="Arial" w:cs="Arial"/>
        </w:rPr>
      </w:pPr>
      <w:r>
        <w:rPr>
          <w:rFonts w:ascii="Arial" w:hAnsi="Arial" w:cs="Arial"/>
          <w:b/>
        </w:rPr>
        <w:t xml:space="preserve">5. Toma de decisión estadística según la regla:</w:t>
      </w:r>
    </w:p>
    <w:p w14:paraId="54E42011" w14:textId="77777777" w:rsidR="00D94FC8" w:rsidRPr="00896BD7" w:rsidRDefault="00C33799">
      <w:pPr>
        <w:rPr>
          <w:rFonts w:ascii="Arial" w:hAnsi="Arial" w:cs="Arial"/>
        </w:rPr>
      </w:pPr>
      <w:r>
        <w:rPr>
          <w:rFonts w:ascii="Arial" w:hAnsi="Arial" w:cs="Arial"/>
        </w:rPr>
        <w:t>• Regla: p-valor &lt; α (0.05) → Se rechaza H</w:t>
      </w:r>
      <w:r>
        <w:rPr>
          <w:rFonts w:ascii="Cambria Math" w:hAnsi="Cambria Math" w:cs="Cambria Math"/>
        </w:rPr>
        <w:t>₀</w:t>
      </w:r>
      <w:r>
        <w:rPr>
          <w:rFonts w:ascii="Arial" w:hAnsi="Arial" w:cs="Arial"/>
        </w:rPr>
        <w:t>. Decisión: Como p-valor &lt; 0.001 &lt; 0.05, SE RECHAZA H</w:t>
      </w:r>
      <w:r>
        <w:rPr>
          <w:rFonts w:ascii="Cambria Math" w:hAnsi="Cambria Math" w:cs="Cambria Math"/>
        </w:rPr>
        <w:t>₀</w:t>
      </w:r>
      <w:r>
        <w:rPr>
          <w:rFonts w:ascii="Arial" w:hAnsi="Arial" w:cs="Arial"/>
        </w:rPr>
        <w:t xml:space="preserve"> y se acepta H</w:t>
      </w:r>
      <w:r>
        <w:rPr>
          <w:rFonts w:ascii="Cambria Math" w:hAnsi="Cambria Math" w:cs="Cambria Math"/>
        </w:rPr>
        <w:t>₁</w:t>
      </w:r>
      <w:r>
        <w:rPr>
          <w:rFonts w:ascii="Arial" w:hAnsi="Arial" w:cs="Arial"/>
        </w:rPr>
        <w:t>.</w:t>
      </w:r>
    </w:p>
    <w:p w14:paraId="4EAEFD3F" w14:textId="77777777" w:rsidR="00D94FC8" w:rsidRPr="00896BD7" w:rsidRDefault="00C33799">
      <w:pPr>
        <w:rPr>
          <w:rFonts w:ascii="Arial" w:hAnsi="Arial" w:cs="Arial"/>
        </w:rPr>
      </w:pPr>
      <w:r>
        <w:rPr>
          <w:rFonts w:ascii="Arial" w:hAnsi="Arial" w:cs="Arial"/>
          <w:b/>
        </w:rPr>
        <w:t>6. Tamaño del efecto para el ANOVA:</w:t>
      </w:r>
    </w:p>
    <w:p w14:paraId="2A364842" w14:textId="77777777" w:rsidR="00D94FC8" w:rsidRPr="00896BD7" w:rsidRDefault="00C33799">
      <w:pPr>
        <w:rPr>
          <w:rFonts w:ascii="Arial" w:hAnsi="Arial" w:cs="Arial"/>
        </w:rPr>
      </w:pPr>
      <w:r>
        <w:rPr>
          <w:rFonts w:ascii="Arial" w:hAnsi="Arial" w:cs="Arial"/>
        </w:rPr>
        <w:t xml:space="preserve">• Eta cuadrado (η²) = SS_entre / SS_total = 71.698 / 2253.391 = 0.032 (IC 95 %: [0.014 ; 0.054]).</w:t>
      </w:r>
    </w:p>
    <w:p w14:paraId="7F7ED4CE" w14:textId="77777777" w:rsidR="00D94FC8" w:rsidRPr="00896BD7" w:rsidRDefault="00C33799">
      <w:pPr>
        <w:rPr>
          <w:rFonts w:ascii="Arial" w:hAnsi="Arial" w:cs="Arial"/>
        </w:rPr>
      </w:pPr>
      <w:r>
        <w:rPr>
          <w:rFonts w:ascii="Arial" w:hAnsi="Arial" w:cs="Arial"/>
        </w:rPr>
        <w:t>• Omega cuadrado (ω²) = 0.030. Magnitud: Pequeña (la licencia explica el 3.2 % de la varianza en issues).</w:t>
      </w:r>
    </w:p>
    <w:p w14:paraId="3FB6D1F4" w14:textId="77777777" w:rsidR="00D94FC8" w:rsidRPr="00896BD7" w:rsidRDefault="00C33799">
      <w:pPr>
        <w:rPr>
          <w:rFonts w:ascii="Arial" w:hAnsi="Arial" w:cs="Arial"/>
        </w:rPr>
      </w:pPr>
      <w:r>
        <w:rPr>
          <w:rFonts w:ascii="Arial" w:hAnsi="Arial" w:cs="Arial"/>
          <w:b/>
        </w:rPr>
        <w:t>7. Interpretación en el contexto del problema:</w:t>
      </w:r>
    </w:p>
    <w:p w14:paraId="63A165DD" w14:textId="77777777" w:rsidR="00D94FC8" w:rsidRPr="00896BD7" w:rsidRDefault="00C33799">
      <w:pPr>
        <w:rPr>
          <w:rFonts w:ascii="Arial" w:hAnsi="Arial" w:cs="Arial"/>
        </w:rPr>
      </w:pPr>
      <w:r>
        <w:rPr>
          <w:rFonts w:ascii="Arial" w:hAnsi="Arial" w:cs="Arial"/>
        </w:rPr>
        <w:t xml:space="preserve">   Existen diferencias estadísticamente significativas en el promedio de incidencias abiertas transformadas entre los tipos de licencia. Sin embargo, el ANOVA global no identifica entre qué grupos se presentan las diferencias; por ende, es obligatorio continuar con las pruebas Post Hoc.</w:t>
      </w:r>
    </w:p>
    <w:p>
      <w:pPr>
        <w:rPr>
          <w:rFonts w:ascii="Arial" w:hAnsi="Arial" w:cs="Arial"/>
        </w:rPr>
      </w:pPr>
      <w:r>
        <w:rPr>
          <w:rFonts w:ascii="Arial" w:hAnsi="Arial" w:cs="Arial"/>
        </w:rPr>
        <w:t xml:space="preserve">   Al volver de la escala logarítmica, el repositorio típico tiene unas 55 incidencias abiertas con MIT, 78 con GPL-3.0 y 96 con Apache-2.0. La diferencia es estadísticamente clara (F = 17.418), pero pequeña: la licencia explica solo 3.2 % de la variación (η² = 0.032) y el 96.8 % restante depende de otros factores no medidos, como la antigüedad, el tamaño de la comunidad o la actividad del proyecto. El resultado se mantiene con la prueba de Welch (F = 17.511); además, como Levene no rechazó la homogeneidad (p = 0.330) y las desviaciones de los tres grupos son similares (de 1.3876 a 1.4769), el ANOVA es adecuado.</w:t>
      </w:r>
    </w:p>
    <w:p w14:paraId="41CDC286"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38280536" wp14:editId="3D04AEDD">
            <wp:extent cx="5409571" cy="269557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416590" cy="2699073"/>
                    </a:xfrm>
                    <a:prstGeom prst="rect">
                      <a:avLst/>
                    </a:prstGeom>
                  </pic:spPr>
                </pic:pic>
              </a:graphicData>
            </a:graphic>
          </wp:inline>
        </w:drawing>
      </w:r>
    </w:p>
    <w:p w14:paraId="0DAC7675" w14:textId="77777777" w:rsidR="00D94FC8" w:rsidRPr="00896BD7" w:rsidRDefault="00C33799">
      <w:pPr>
        <w:spacing w:before="20" w:after="120"/>
        <w:jc w:val="center"/>
        <w:rPr>
          <w:rFonts w:ascii="Arial" w:hAnsi="Arial" w:cs="Arial"/>
        </w:rPr>
      </w:pPr>
      <w:r>
        <w:rPr>
          <w:rFonts w:ascii="Arial" w:hAnsi="Arial" w:cs="Arial"/>
          <w:b/>
          <w:i/>
          <w:color w:val="555555"/>
          <w:sz w:val="19"/>
        </w:rPr>
        <w:t xml:space="preserve">Figura 12. Descriptivos por tipo de licencia y Prueba de Homogeneidad de Varianzas de Levene (F = 1.109, p = 0.330) en SPSS.</w:t>
      </w:r>
    </w:p>
    <w:p w14:paraId="2C492FEF" w14:textId="77777777" w:rsidR="00D94FC8" w:rsidRPr="00896BD7" w:rsidRDefault="00C33799">
      <w:pPr>
        <w:keepNext/>
        <w:spacing w:before="100" w:after="40"/>
        <w:jc w:val="center"/>
        <w:rPr>
          <w:rFonts w:ascii="Arial" w:hAnsi="Arial" w:cs="Arial"/>
        </w:rPr>
      </w:pPr>
      <w:r>
        <w:rPr>
          <w:rFonts w:ascii="Arial" w:hAnsi="Arial" w:cs="Arial"/>
          <w:noProof/>
        </w:rPr>
        <w:drawing>
          <wp:inline distT="0" distB="0" distL="0" distR="0" wp14:anchorId="6B521789" wp14:editId="4EEE95A8">
            <wp:extent cx="4151546" cy="395287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154408" cy="3955600"/>
                    </a:xfrm>
                    <a:prstGeom prst="rect">
                      <a:avLst/>
                    </a:prstGeom>
                  </pic:spPr>
                </pic:pic>
              </a:graphicData>
            </a:graphic>
          </wp:inline>
        </w:drawing>
      </w:r>
    </w:p>
    <w:p w14:paraId="0EC0BDF7" w14:textId="77777777" w:rsidR="00D94FC8" w:rsidRPr="00896BD7" w:rsidRDefault="00C33799">
      <w:pPr>
        <w:spacing w:before="20" w:after="120"/>
        <w:jc w:val="center"/>
        <w:rPr>
          <w:rFonts w:ascii="Arial" w:hAnsi="Arial" w:cs="Arial"/>
        </w:rPr>
      </w:pPr>
      <w:r>
        <w:rPr>
          <w:rFonts w:ascii="Arial" w:hAnsi="Arial" w:cs="Arial"/>
          <w:b/>
          <w:i/>
          <w:color w:val="555555"/>
          <w:sz w:val="19"/>
        </w:rPr>
        <w:t>Figura 13. Tabla ANOVA de un factor (F = 17.418, p &lt; 0.001), tamaños de efecto y prueba de Welch en SPSS.</w:t>
      </w:r>
    </w:p>
    <w:p w14:paraId="134473EA" w14:textId="77777777" w:rsidR="00D94FC8" w:rsidRPr="00896BD7" w:rsidRDefault="00C33799">
      <w:pPr>
        <w:pStyle w:val="Ttulo1"/>
        <w:spacing w:before="200" w:after="60"/>
        <w:jc w:val="left"/>
        <w:rPr>
          <w:rFonts w:ascii="Arial" w:hAnsi="Arial" w:cs="Arial"/>
        </w:rPr>
      </w:pPr>
      <w:bookmarkStart w:id="8" w:name="_Toc202609"/>
      <w:r>
        <w:rPr>
          <w:rFonts w:ascii="Arial" w:hAnsi="Arial" w:cs="Arial"/>
          <w:color w:val="1B365D"/>
          <w:sz w:val="26"/>
        </w:rPr>
        <w:lastRenderedPageBreak/>
        <w:t>9. Procedimiento 5: Pruebas Post Hoc de comparaciones múltiples (HSD Tukey)</w:t>
      </w:r>
      <w:bookmarkEnd w:id="8"/>
    </w:p>
    <w:p w14:paraId="441FA0EA" w14:textId="77777777" w:rsidR="00D94FC8" w:rsidRPr="00896BD7" w:rsidRDefault="00C33799">
      <w:pPr>
        <w:rPr>
          <w:rFonts w:ascii="Arial" w:hAnsi="Arial" w:cs="Arial"/>
        </w:rPr>
      </w:pPr>
      <w:r>
        <w:rPr>
          <w:rFonts w:ascii="Arial" w:hAnsi="Arial" w:cs="Arial"/>
        </w:rPr>
        <w:t>Como se cumple la homogeneidad de varianzas en Levene (p = 0.330 ≥ 0.05), se utiliza la prueba HSD de Tukey:</w:t>
      </w:r>
    </w:p>
    <w:p w14:paraId="0C6D00BC" w14:textId="77777777" w:rsidR="00D94FC8" w:rsidRPr="00896BD7" w:rsidRDefault="00C33799">
      <w:pPr>
        <w:rPr>
          <w:rFonts w:ascii="Arial" w:hAnsi="Arial" w:cs="Arial"/>
        </w:rPr>
      </w:pPr>
      <w:r>
        <w:rPr>
          <w:rFonts w:ascii="Arial" w:hAnsi="Arial" w:cs="Arial"/>
          <w:b/>
        </w:rPr>
        <w:t>1. Criterio de selección justificado:</w:t>
      </w:r>
    </w:p>
    <w:p w14:paraId="4CC1E9F6" w14:textId="77777777" w:rsidR="00D94FC8" w:rsidRPr="00896BD7" w:rsidRDefault="00C33799">
      <w:pPr>
        <w:rPr>
          <w:rFonts w:ascii="Arial" w:hAnsi="Arial" w:cs="Arial"/>
        </w:rPr>
      </w:pPr>
      <w:r>
        <w:rPr>
          <w:rFonts w:ascii="Arial" w:hAnsi="Arial" w:cs="Arial"/>
        </w:rPr>
        <w:t xml:space="preserve">• Varianzas homogéneas (Levene p ≥ 0.05) → HSD de Tukey. (Si hubiesen sido heterogéneas, se habría empleado Games–Howell).</w:t>
      </w:r>
    </w:p>
    <w:p w14:paraId="46396F03" w14:textId="77777777" w:rsidR="00D94FC8" w:rsidRPr="00896BD7" w:rsidRDefault="00C33799">
      <w:pPr>
        <w:rPr>
          <w:rFonts w:ascii="Arial" w:hAnsi="Arial" w:cs="Arial"/>
        </w:rPr>
      </w:pPr>
      <w:r>
        <w:rPr>
          <w:rFonts w:ascii="Arial" w:hAnsi="Arial" w:cs="Arial"/>
          <w:b/>
        </w:rPr>
        <w:t>2. Comparaciones múltiples por pares (HSD Tukey, α = 0.05):</w:t>
      </w:r>
    </w:p>
    <w:p w14:paraId="2464AE78" w14:textId="77777777" w:rsidR="00D94FC8" w:rsidRPr="00896BD7" w:rsidRDefault="00C33799">
      <w:pPr>
        <w:rPr>
          <w:rFonts w:ascii="Arial" w:hAnsi="Arial" w:cs="Arial"/>
        </w:rPr>
      </w:pPr>
      <w:r>
        <w:rPr>
          <w:rFonts w:ascii="Arial" w:hAnsi="Arial" w:cs="Arial"/>
        </w:rPr>
        <w:t>• Par 1: MIT vs. Apache-2.0:</w:t>
      </w:r>
    </w:p>
    <w:p w14:paraId="4585E60B" w14:textId="77777777" w:rsidR="00D94FC8" w:rsidRPr="00896BD7" w:rsidRDefault="00C33799">
      <w:pPr>
        <w:rPr>
          <w:rFonts w:ascii="Arial" w:hAnsi="Arial" w:cs="Arial"/>
        </w:rPr>
      </w:pPr>
      <w:r>
        <w:rPr>
          <w:rFonts w:ascii="Arial" w:hAnsi="Arial" w:cs="Arial"/>
        </w:rPr>
        <w:t xml:space="preserve">     Diferencia de medias (x̄_MIT - x̄_Apache) = -0.550792, Error Est. = 0.094083, p &lt; 0.001, IC 95%: [-0.771605 ; -0.329979].</w:t>
      </w:r>
    </w:p>
    <w:p w14:paraId="3CD71388" w14:textId="77777777" w:rsidR="00D94FC8" w:rsidRPr="00896BD7" w:rsidRDefault="00C33799">
      <w:pPr>
        <w:rPr>
          <w:rFonts w:ascii="Arial" w:hAnsi="Arial" w:cs="Arial"/>
        </w:rPr>
      </w:pPr>
      <w:r>
        <w:rPr>
          <w:rFonts w:ascii="Arial" w:hAnsi="Arial" w:cs="Arial"/>
        </w:rPr>
        <w:t xml:space="preserve">     Decisión: DIFERENCIA SIGNIFICATIVA (p &lt; 0.05, marcado con * en SPSS). Los proyectos Apache-2.0 tienen significativamente más issues abiertos.</w:t>
      </w:r>
    </w:p>
    <w:p w14:paraId="22151296" w14:textId="77777777" w:rsidR="00D94FC8" w:rsidRPr="00896BD7" w:rsidRDefault="00C33799">
      <w:pPr>
        <w:rPr>
          <w:rFonts w:ascii="Arial" w:hAnsi="Arial" w:cs="Arial"/>
        </w:rPr>
      </w:pPr>
      <w:r>
        <w:rPr>
          <w:rFonts w:ascii="Arial" w:hAnsi="Arial" w:cs="Arial"/>
        </w:rPr>
        <w:t>• Par 2: MIT vs. GPL-3.0:</w:t>
      </w:r>
    </w:p>
    <w:p w14:paraId="1D76D797" w14:textId="77777777" w:rsidR="00D94FC8" w:rsidRPr="00896BD7" w:rsidRDefault="00C33799">
      <w:pPr>
        <w:rPr>
          <w:rFonts w:ascii="Arial" w:hAnsi="Arial" w:cs="Arial"/>
        </w:rPr>
      </w:pPr>
      <w:r>
        <w:rPr>
          <w:rFonts w:ascii="Arial" w:hAnsi="Arial" w:cs="Arial"/>
        </w:rPr>
        <w:t xml:space="preserve">     Diferencia de medias (x̄_MIT - x̄_GPL) = -0.342007, Error Est. = 0.148817, p = 0.056, IC 95%: [-0.691280 ; 0.007266].</w:t>
      </w:r>
    </w:p>
    <w:p w14:paraId="73398030" w14:textId="77777777" w:rsidR="00D94FC8" w:rsidRPr="00896BD7" w:rsidRDefault="00C33799">
      <w:pPr>
        <w:rPr>
          <w:rFonts w:ascii="Arial" w:hAnsi="Arial" w:cs="Arial"/>
        </w:rPr>
      </w:pPr>
      <w:r>
        <w:rPr>
          <w:rFonts w:ascii="Arial" w:hAnsi="Arial" w:cs="Arial"/>
        </w:rPr>
        <w:t xml:space="preserve">     Decisión: NO SIGNIFICATIVA al nivel 0.05 (p = 0.056 ≥ 0.05, tendencia marginal).</w:t>
      </w:r>
    </w:p>
    <w:p w14:paraId="7FF7A473" w14:textId="77777777" w:rsidR="00D94FC8" w:rsidRPr="00896BD7" w:rsidRDefault="00C33799">
      <w:pPr>
        <w:rPr>
          <w:rFonts w:ascii="Arial" w:hAnsi="Arial" w:cs="Arial"/>
        </w:rPr>
      </w:pPr>
      <w:r>
        <w:rPr>
          <w:rFonts w:ascii="Arial" w:hAnsi="Arial" w:cs="Arial"/>
        </w:rPr>
        <w:t>• Par 3: Apache-2.0 vs. GPL-3.0:</w:t>
      </w:r>
    </w:p>
    <w:p w14:paraId="5A6CC916" w14:textId="77777777" w:rsidR="00D94FC8" w:rsidRPr="00896BD7" w:rsidRDefault="00C33799">
      <w:pPr>
        <w:rPr>
          <w:rFonts w:ascii="Arial" w:hAnsi="Arial" w:cs="Arial"/>
        </w:rPr>
      </w:pPr>
      <w:r>
        <w:rPr>
          <w:rFonts w:ascii="Arial" w:hAnsi="Arial" w:cs="Arial"/>
        </w:rPr>
        <w:t xml:space="preserve">     Diferencia de medias (x̄_Apache - x̄_GPL) = 0.208785, Error Est. = 0.153163, p = 0.361, IC 95%: [-0.150688 ; 0.568258].</w:t>
      </w:r>
    </w:p>
    <w:p w14:paraId="1A6B2DD5" w14:textId="77777777" w:rsidR="00D94FC8" w:rsidRPr="00896BD7" w:rsidRDefault="00C33799">
      <w:pPr>
        <w:rPr>
          <w:rFonts w:ascii="Arial" w:hAnsi="Arial" w:cs="Arial"/>
        </w:rPr>
      </w:pPr>
      <w:r>
        <w:rPr>
          <w:rFonts w:ascii="Arial" w:hAnsi="Arial" w:cs="Arial"/>
        </w:rPr>
        <w:t xml:space="preserve">     Decisión: NO SIGNIFICATIVA (p = 0.361 ≥ 0.05). No hay diferencia entre Apache-2.0 y GPL-3.0.</w:t>
      </w:r>
    </w:p>
    <w:p w14:paraId="1CC9F9E1" w14:textId="77777777" w:rsidR="00D94FC8" w:rsidRPr="00896BD7" w:rsidRDefault="00C33799">
      <w:pPr>
        <w:rPr>
          <w:rFonts w:ascii="Arial" w:hAnsi="Arial" w:cs="Arial"/>
        </w:rPr>
      </w:pPr>
      <w:r>
        <w:rPr>
          <w:rFonts w:ascii="Arial" w:hAnsi="Arial" w:cs="Arial"/>
          <w:b/>
        </w:rPr>
        <w:t>3. Análisis de subconjuntos homogéneos (HSD Tukey, media armónica n_h = 226.771):</w:t>
      </w:r>
    </w:p>
    <w:p w14:paraId="0B83FABE" w14:textId="77777777" w:rsidR="00D94FC8" w:rsidRPr="00896BD7" w:rsidRDefault="00C33799">
      <w:pPr>
        <w:rPr>
          <w:rFonts w:ascii="Arial" w:hAnsi="Arial" w:cs="Arial"/>
        </w:rPr>
      </w:pPr>
      <w:r>
        <w:rPr>
          <w:rFonts w:ascii="Arial" w:hAnsi="Arial" w:cs="Arial"/>
        </w:rPr>
        <w:t>• Subconjunto 1 (Baja carga de issues): Licencia MIT (media = 4.022699; Sig. = 1.000).</w:t>
      </w:r>
    </w:p>
    <w:p w14:paraId="613701DF" w14:textId="77777777" w:rsidR="00D94FC8" w:rsidRPr="00896BD7" w:rsidRDefault="00C33799">
      <w:pPr>
        <w:rPr>
          <w:rFonts w:ascii="Arial" w:hAnsi="Arial" w:cs="Arial"/>
        </w:rPr>
      </w:pPr>
      <w:r>
        <w:rPr>
          <w:rFonts w:ascii="Arial" w:hAnsi="Arial" w:cs="Arial"/>
        </w:rPr>
        <w:t>• Subconjunto 2 (Alta carga de issues): Licencia GPL-3.0 (media = 4.364706) y Licencia Apache-2.0 (media = 4.573491; Sig. = 0.268).</w:t>
      </w:r>
    </w:p>
    <w:p w14:paraId="164FA05B" w14:textId="77777777" w:rsidR="00D94FC8" w:rsidRPr="00896BD7" w:rsidRDefault="00C33799">
      <w:pPr>
        <w:rPr>
          <w:rFonts w:ascii="Arial" w:hAnsi="Arial" w:cs="Arial"/>
        </w:rPr>
      </w:pPr>
      <w:r>
        <w:rPr>
          <w:rFonts w:ascii="Arial" w:hAnsi="Arial" w:cs="Arial"/>
          <w:b/>
        </w:rPr>
        <w:t>4. Interpretación en el contexto del problema:</w:t>
      </w:r>
    </w:p>
    <w:p>
      <w:pPr>
        <w:rPr>
          <w:rFonts w:ascii="Arial" w:hAnsi="Arial" w:cs="Arial"/>
        </w:rPr>
      </w:pPr>
      <w:r>
        <w:rPr>
          <w:rFonts w:ascii="Arial" w:hAnsi="Arial" w:cs="Arial"/>
        </w:rPr>
        <w:t xml:space="preserve">   La diferencia que detectó el ANOVA está solo entre Apache-2.0 y MIT: los proyectos Apache-2.0 tienen, en términos típicos, cerca de 1.73 veces las incidencias abiertas de los MIT (e^0.5508), con un efecto de pequeño a moderado (d ≈ 0.38). GPL-3.0 queda en un punto intermedio: no se diferencia significativamente de MIT (p = 0.056) ni de Apache-2.0 (p = 0.361). Los subconjuntos homogéneos separan a MIT de los otros dos, pero se calculan con la media armónica de los tamaños de grupo y no equivalen a una diferencia significativa MIT–GPL-3.0, que las comparaciones por pares no confirman. Una posible explicación, que este análisis no contrasta, es que Apache-2.0 suele asociarse a proyectos con gobernanza corporativa más compleja y más tickets, y MIT a soluciones más ligeras. Al ser un estudio observacional, hay asociación y no causalidad.</w:t>
      </w:r>
    </w:p>
    <w:p>
      <w:pPr>
        <w:rPr>
          <w:rFonts w:ascii="Arial" w:hAnsi="Arial" w:cs="Arial"/>
        </w:rPr>
      </w:pPr>
      <w:r>
        <w:rPr>
          <w:rFonts w:ascii="Arial" w:hAnsi="Arial" w:cs="Arial"/>
        </w:rPr>
        <w:t xml:space="preserve">   La diferencia MIT–GPL-3.0 (-0.342) es cerca de dos tercios de la de MIT–Apache-2.0 (-0.551), pero no es significativa (p = 0.056) porque GPL-3.0 tiene pocos repositorios (n = 112) y su error estándar (0.1315) es más del doble que el de MIT (0.0632); el intervalo de Tukey [-0.691280 ; 0.007266] apenas toca el cero. Es probable que falte potencia estadística, por lo que con más repositorios GPL-3.0 podría confirmarse una diferencia. Apache-2.0 vs. GPL-3.0 (0.208785; d ≈ 0.15) es la comparación más pequeña, coherente con medias cercanas (4.5735 y 4.3647).</w:t>
      </w:r>
    </w:p>
    <w:p w14:paraId="0AFE4D3A"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76974AAF" wp14:editId="4E1076AA">
            <wp:extent cx="4094672" cy="471487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4098481" cy="4719261"/>
                    </a:xfrm>
                    <a:prstGeom prst="rect">
                      <a:avLst/>
                    </a:prstGeom>
                  </pic:spPr>
                </pic:pic>
              </a:graphicData>
            </a:graphic>
          </wp:inline>
        </w:drawing>
      </w:r>
    </w:p>
    <w:p w14:paraId="58E570CD" w14:textId="77777777" w:rsidR="00D94FC8" w:rsidRPr="00896BD7" w:rsidRDefault="00C33799">
      <w:pPr>
        <w:spacing w:before="20" w:after="120"/>
        <w:jc w:val="center"/>
        <w:rPr>
          <w:rFonts w:ascii="Arial" w:hAnsi="Arial" w:cs="Arial"/>
        </w:rPr>
      </w:pPr>
      <w:r>
        <w:rPr>
          <w:rFonts w:ascii="Arial" w:hAnsi="Arial" w:cs="Arial"/>
          <w:b/>
          <w:i/>
          <w:color w:val="555555"/>
          <w:sz w:val="19"/>
        </w:rPr>
        <w:t>Figura 14. Tabla de Comparaciones Múltiples Post Hoc HSD de Tukey para ln_open_issues_1 en SPSS.</w:t>
      </w:r>
    </w:p>
    <w:p w14:paraId="7525544B" w14:textId="77777777" w:rsidR="00D94FC8" w:rsidRPr="00896BD7" w:rsidRDefault="00C33799">
      <w:pPr>
        <w:keepNext/>
        <w:spacing w:before="100" w:after="40"/>
        <w:jc w:val="center"/>
        <w:rPr>
          <w:rFonts w:ascii="Arial" w:hAnsi="Arial" w:cs="Arial"/>
        </w:rPr>
      </w:pPr>
      <w:r>
        <w:rPr>
          <w:rFonts w:ascii="Arial" w:hAnsi="Arial" w:cs="Arial"/>
          <w:noProof/>
        </w:rPr>
        <w:lastRenderedPageBreak/>
        <w:drawing>
          <wp:inline distT="0" distB="0" distL="0" distR="0" wp14:anchorId="507385CB" wp14:editId="67EBBEC0">
            <wp:extent cx="4144993" cy="41338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3"/>
                    <a:stretch>
                      <a:fillRect/>
                    </a:stretch>
                  </pic:blipFill>
                  <pic:spPr>
                    <a:xfrm>
                      <a:off x="0" y="0"/>
                      <a:ext cx="4149597" cy="4138442"/>
                    </a:xfrm>
                    <a:prstGeom prst="rect">
                      <a:avLst/>
                    </a:prstGeom>
                  </pic:spPr>
                </pic:pic>
              </a:graphicData>
            </a:graphic>
          </wp:inline>
        </w:drawing>
      </w:r>
    </w:p>
    <w:p w14:paraId="341FA9B2" w14:textId="77777777" w:rsidR="00D94FC8" w:rsidRPr="00896BD7" w:rsidRDefault="00C33799">
      <w:pPr>
        <w:spacing w:before="20" w:after="120"/>
        <w:jc w:val="center"/>
        <w:rPr>
          <w:rFonts w:ascii="Arial" w:hAnsi="Arial" w:cs="Arial"/>
        </w:rPr>
      </w:pPr>
      <w:r>
        <w:rPr>
          <w:rFonts w:ascii="Arial" w:hAnsi="Arial" w:cs="Arial"/>
          <w:b/>
          <w:i/>
          <w:color w:val="555555"/>
          <w:sz w:val="19"/>
        </w:rPr>
        <w:t>Figura 15. Subconjuntos homogéneos de Tukey agrupando a MIT en el Subconjunto 1 y a GPL-3.0 y Apache-2.0 en el Subconjunto 2.</w:t>
      </w:r>
    </w:p>
    <w:p w14:paraId="3DBDF399" w14:textId="77777777" w:rsidR="00D94FC8" w:rsidRPr="00896BD7" w:rsidRDefault="00C33799">
      <w:pPr>
        <w:pStyle w:val="Ttulo1"/>
        <w:spacing w:before="200" w:after="60"/>
        <w:jc w:val="left"/>
        <w:rPr>
          <w:rFonts w:ascii="Arial" w:hAnsi="Arial" w:cs="Arial"/>
        </w:rPr>
      </w:pPr>
      <w:bookmarkStart w:id="9" w:name="_Toc202610"/>
      <w:r>
        <w:rPr>
          <w:rFonts w:ascii="Arial" w:hAnsi="Arial" w:cs="Arial"/>
          <w:color w:val="1B365D"/>
          <w:sz w:val="26"/>
        </w:rPr>
        <w:t>10. Conclusiones generales</w:t>
      </w:r>
      <w:bookmarkEnd w:id="9"/>
    </w:p>
    <w:p w14:paraId="3B36F792" w14:textId="77777777" w:rsidR="00D94FC8" w:rsidRPr="00896BD7" w:rsidRDefault="00C33799">
      <w:pPr>
        <w:rPr>
          <w:rFonts w:ascii="Arial" w:hAnsi="Arial" w:cs="Arial"/>
        </w:rPr>
      </w:pPr>
      <w:r>
        <w:rPr>
          <w:rFonts w:ascii="Arial" w:hAnsi="Arial" w:cs="Arial"/>
        </w:rPr>
        <w:t>A partir de la evidencia estadística inferencial obtenida sobre los 1567 repositorios de software libre en Python:</w:t>
      </w:r>
    </w:p>
    <w:p>
      <w:pPr>
        <w:rPr>
          <w:rFonts w:ascii="Arial" w:hAnsi="Arial" w:cs="Arial"/>
        </w:rPr>
      </w:pPr>
      <w:r>
        <w:rPr>
          <w:rFonts w:ascii="Arial" w:hAnsi="Arial" w:cs="Arial"/>
        </w:rPr>
        <w:t xml:space="preserve">1. Popularidad de una muestra (Q1): El promedio de estrellas no difiere estadísticamente de 9000 (t = -0.324, p = 0.746, d = -0.008); si hubiera una diferencia real, sería de unas 255 estrellas como máximo. Aun así, la mediana (8539) está por debajo de 9000, por lo que el repositorio típico es algo menos popular que el promedio. Frente al umbral de 5000 estrellas, los proyectos lo superan con claridad (p &lt; 0.001, d = 0.90).</w:t>
      </w:r>
    </w:p>
    <w:p>
      <w:pPr>
        <w:rPr>
          <w:rFonts w:ascii="Arial" w:hAnsi="Arial" w:cs="Arial"/>
        </w:rPr>
      </w:pPr>
      <w:r>
        <w:rPr>
          <w:rFonts w:ascii="Arial" w:hAnsi="Arial" w:cs="Arial"/>
        </w:rPr>
        <w:t xml:space="preserve">2. Comparación entre grupos independientes (Q2): No hay diferencias significativas en forks (en escala logarítmica) entre Organizaciones y Usuarios (t = 1.107, p = 0.268, d = 0.057). Los valores típicos son casi iguales (unos 1005 y 962 forks), así que la reutilización del código parece depender más de la calidad de la solución que de quién la publica, aunque el estudio es observacional y no prueba causalidad.</w:t>
      </w:r>
    </w:p>
    <w:p>
      <w:pPr>
        <w:rPr>
          <w:rFonts w:ascii="Arial" w:hAnsi="Arial" w:cs="Arial"/>
        </w:rPr>
      </w:pPr>
      <w:r>
        <w:rPr>
          <w:rFonts w:ascii="Arial" w:hAnsi="Arial" w:cs="Arial"/>
        </w:rPr>
        <w:t xml:space="preserve">3. Muestras relacionadas intra-repositorio (Q3): Se encontró una diferencia muy grande a favor de las estrellas sobre las bifurcaciones dentro de los mismos proyectos (t = 136.379, p &lt; 0.001, d = 3.445). En promedio hay unas 8 estrellas por cada bifurcación (entre 7.8 y 8.3), y la correlación (r = 0.623) muestra que ambos indicadores crecen juntos pero miden cosas distintas: dar una estrella es mucho más frecuente que contribuir técnicamente.</w:t>
      </w:r>
    </w:p>
    <w:p>
      <w:pPr>
        <w:rPr>
          <w:rFonts w:ascii="Arial" w:hAnsi="Arial" w:cs="Arial"/>
        </w:rPr>
      </w:pPr>
      <w:r>
        <w:rPr>
          <w:rFonts w:ascii="Arial" w:hAnsi="Arial" w:cs="Arial"/>
        </w:rPr>
        <w:t xml:space="preserve">4. ANOVA de un factor (Q4): El tipo de licencia influye significativamente en las incidencias abiertas transformadas (F = 17.418, p &lt; 0.001, η² = 0.032). Se rechaza la igualdad de promedios entre licencias, aunque la licencia explica solo 3.2 % de la variación en incidencias abiertas.</w:t>
      </w:r>
    </w:p>
    <w:p>
      <w:pPr>
        <w:rPr>
          <w:rFonts w:ascii="Arial" w:hAnsi="Arial" w:cs="Arial"/>
        </w:rPr>
      </w:pPr>
      <w:r>
        <w:rPr>
          <w:rFonts w:ascii="Arial" w:hAnsi="Arial" w:cs="Arial"/>
        </w:rPr>
        <w:t xml:space="preserve">5. Pruebas Post Hoc de Tukey (Q5): Habiéndose verificado varianzas homogéneas en Levene (p = 0.330), Tukey mostró que la diferencia significativa está solo entre Apache-2.0 y MIT (p &lt; 0.001), con cerca de 1.7 veces más incidencias en Apache-2.0. GPL-3.0 queda en un punto intermedio: no difiere significativamente de MIT (p = 0.056, resultado marginal, posiblemente por su menor tamaño, n = 112) ni de Apache-2.0 (p = 0.361).</w:t>
      </w:r>
    </w:p>
    <w:p>
      <w:pPr>
        <w:rPr>
          <w:rFonts w:ascii="Arial" w:hAnsi="Arial" w:cs="Arial"/>
        </w:rPr>
      </w:pPr>
      <w:r>
        <w:rPr>
          <w:rFonts w:ascii="Arial" w:hAnsi="Arial" w:cs="Arial"/>
        </w:rPr>
        <w:t xml:space="preserve">6. Validez de las pruebas y limitaciones: Aunque Shapiro–Wilk rechaza la normalidad estricta en las variables originales y en varios grupos, tras la transformación logarítmica los valores W quedan cerca de 1 (0.9662 a 0.9972) y las pruebas paramétricas se apoyan en el Teorema del Límite Central (n = 1567), el uso de logaritmos y la corrección de Welch. Como limitaciones, no se aplicaron pruebas no paramétricas de respaldo, la muestra son repositorios de Python ya populares (stars ≥ 4001) y el valor de 9000 estrellas es un criterio del grupo; por eso los resultados no deben generalizarse a todo GitHub.</w:t>
      </w:r>
    </w:p>
    <w:p w14:paraId="4A86FAEC" w14:textId="77777777" w:rsidR="00D94FC8" w:rsidRPr="00896BD7" w:rsidRDefault="00C33799">
      <w:pPr>
        <w:pStyle w:val="Ttulo1"/>
        <w:spacing w:before="200" w:after="60"/>
        <w:jc w:val="left"/>
        <w:rPr>
          <w:rFonts w:ascii="Arial" w:hAnsi="Arial" w:cs="Arial"/>
        </w:rPr>
      </w:pPr>
      <w:bookmarkStart w:id="10" w:name="_Toc202611"/>
      <w:r>
        <w:rPr>
          <w:rFonts w:ascii="Arial" w:hAnsi="Arial" w:cs="Arial"/>
          <w:color w:val="1B365D"/>
          <w:sz w:val="26"/>
        </w:rPr>
        <w:t>11. Referencias y fuentes de datos</w:t>
      </w:r>
      <w:bookmarkEnd w:id="10"/>
    </w:p>
    <w:p w14:paraId="11648457" w14:textId="5234521B" w:rsidR="00896BD7" w:rsidRPr="00896BD7" w:rsidRDefault="00896BD7">
      <w:pPr>
        <w:spacing w:before="20"/>
        <w:ind w:left="576" w:hanging="576"/>
        <w:rPr>
          <w:rFonts w:ascii="Arial" w:hAnsi="Arial" w:cs="Arial"/>
          <w:sz w:val="20"/>
        </w:rPr>
      </w:pPr>
      <w:r>
        <w:rPr>
          <w:rFonts w:ascii="Arial" w:hAnsi="Arial" w:cs="Arial"/>
          <w:sz w:val="20"/>
        </w:rPr>
        <w:t xml:space="preserve">Fuente de Datos: https://www.kaggle.com/datasets/elvisbui/top-github-repositories-2026</w:t>
      </w:r>
    </w:p>
    <w:p w14:paraId="37550561" w14:textId="180EF89E" w:rsidR="00D94FC8" w:rsidRPr="00896BD7" w:rsidRDefault="00C33799">
      <w:pPr>
        <w:spacing w:before="20"/>
        <w:ind w:left="576" w:hanging="576"/>
        <w:rPr>
          <w:rFonts w:ascii="Arial" w:hAnsi="Arial" w:cs="Arial"/>
        </w:rPr>
      </w:pPr>
      <w:r>
        <w:rPr>
          <w:rFonts w:ascii="Arial" w:hAnsi="Arial" w:cs="Arial"/>
          <w:sz w:val="20"/>
        </w:rPr>
        <w:t xml:space="preserve">Cohen, J. (1988). Statistical Power Analysis for the Behavioral Sciences (2nd ed.). Lawrence Erlbaum Associates.</w:t>
      </w:r>
    </w:p>
    <w:p w14:paraId="53BC2551" w14:textId="77777777" w:rsidR="00D94FC8" w:rsidRPr="00896BD7" w:rsidRDefault="00C33799">
      <w:pPr>
        <w:spacing w:before="20"/>
        <w:ind w:left="576" w:hanging="576"/>
        <w:rPr>
          <w:rFonts w:ascii="Arial" w:hAnsi="Arial" w:cs="Arial"/>
        </w:rPr>
      </w:pPr>
      <w:r>
        <w:rPr>
          <w:rFonts w:ascii="Arial" w:hAnsi="Arial" w:cs="Arial"/>
          <w:sz w:val="20"/>
        </w:rPr>
        <w:t>Hedges, L. V. (1981). Distribution theory for Glass's estimator of effect size and related estimators. Journal of Educational Statistics, 6(2), 107–128.</w:t>
      </w:r>
    </w:p>
    <w:p w14:paraId="73F06E69" w14:textId="77777777" w:rsidR="00D94FC8" w:rsidRPr="00896BD7" w:rsidRDefault="00C33799">
      <w:pPr>
        <w:spacing w:before="20"/>
        <w:ind w:left="576" w:hanging="576"/>
        <w:rPr>
          <w:rFonts w:ascii="Arial" w:hAnsi="Arial" w:cs="Arial"/>
        </w:rPr>
      </w:pPr>
      <w:r>
        <w:rPr>
          <w:rFonts w:ascii="Arial" w:hAnsi="Arial" w:cs="Arial"/>
          <w:sz w:val="20"/>
        </w:rPr>
        <w:t xml:space="preserve">IBM Corp. (2023). IBM SPSS Statistics for Windows, Version 29.0. Armonk, NY: IBM Corp.</w:t>
      </w:r>
    </w:p>
    <w:p>
      <w:pPr>
        <w:spacing w:before="20"/>
        <w:ind w:left="576" w:hanging="576"/>
        <w:rPr>
          <w:rFonts w:ascii="Arial" w:hAnsi="Arial" w:cs="Arial"/>
        </w:rPr>
      </w:pPr>
      <w:r>
        <w:rPr>
          <w:rFonts w:ascii="Arial" w:hAnsi="Arial" w:cs="Arial"/>
          <w:sz w:val="20"/>
        </w:rPr>
        <w:t xml:space="preserve">Kaggle Datasets. (2026). GitHub Repositories – Heterogeneous Data. Extraído de: https://www.kaggle.com/datasets/elvisbui/top-github-repositories-2026</w:t>
      </w:r>
    </w:p>
    <w:p w14:paraId="544C280B" w14:textId="77777777" w:rsidR="00D94FC8" w:rsidRPr="00896BD7" w:rsidRDefault="00C33799">
      <w:pPr>
        <w:spacing w:before="20"/>
        <w:ind w:left="576" w:hanging="576"/>
        <w:rPr>
          <w:rFonts w:ascii="Arial" w:hAnsi="Arial" w:cs="Arial"/>
        </w:rPr>
      </w:pPr>
      <w:r>
        <w:rPr>
          <w:rFonts w:ascii="Arial" w:hAnsi="Arial" w:cs="Arial"/>
          <w:sz w:val="20"/>
        </w:rPr>
        <w:t>Montgomery, D. C., &amp; Runger, G. C. (2018). Probabilidad y estadística aplicadas a la ingeniería (5.ª ed.). Limusa Wiley.</w:t>
      </w:r>
    </w:p>
    <w:p w14:paraId="08A92356" w14:textId="77777777" w:rsidR="00D94FC8" w:rsidRPr="00896BD7" w:rsidRDefault="00C33799">
      <w:pPr>
        <w:spacing w:before="20"/>
        <w:ind w:left="576" w:hanging="576"/>
        <w:rPr>
          <w:rFonts w:ascii="Arial" w:hAnsi="Arial" w:cs="Arial"/>
        </w:rPr>
      </w:pPr>
      <w:r>
        <w:rPr>
          <w:rFonts w:ascii="Arial" w:hAnsi="Arial" w:cs="Arial"/>
          <w:sz w:val="20"/>
        </w:rPr>
        <w:t>SciPy Community. (2024). Statistical functions (scipy.stats). https://docs.scipy.org/doc/scipy/reference/stats.html</w:t>
      </w:r>
    </w:p>
    <w:p w14:paraId="5BBD5EF3" w14:textId="77777777" w:rsidR="00D94FC8" w:rsidRPr="00896BD7" w:rsidRDefault="00C33799">
      <w:pPr>
        <w:spacing w:before="20"/>
        <w:ind w:left="576" w:hanging="576"/>
        <w:rPr>
          <w:rFonts w:ascii="Arial" w:hAnsi="Arial" w:cs="Arial"/>
        </w:rPr>
      </w:pPr>
      <w:r>
        <w:rPr>
          <w:rFonts w:ascii="Arial" w:hAnsi="Arial" w:cs="Arial"/>
          <w:sz w:val="20"/>
        </w:rPr>
        <w:t>Triola, M. F. (2018). Estadística (12.ª ed.). Pearson Educación.</w:t>
      </w:r>
    </w:p>
    <w:sectPr w:rsidR="00D94FC8" w:rsidRPr="00896BD7" w:rsidSect="00034616">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8392F" w14:textId="77777777" w:rsidR="00C33799" w:rsidRDefault="00C33799">
      <w:pPr>
        <w:spacing w:after="0" w:line="240" w:lineRule="auto"/>
      </w:pPr>
      <w:r>
        <w:separator/>
      </w:r>
    </w:p>
  </w:endnote>
  <w:endnote w:type="continuationSeparator" w:id="0">
    <w:p w14:paraId="08F3A111" w14:textId="77777777" w:rsidR="00C33799" w:rsidRDefault="00C33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902CD" w14:textId="77777777" w:rsidR="00D94FC8" w:rsidRDefault="00C33799">
    <w:pPr>
      <w:pStyle w:val="Piedepgina"/>
      <w:jc w:val="center"/>
    </w:pPr>
    <w:r>
      <w:rPr>
        <w:color w:val="555555"/>
        <w:sz w:val="20"/>
      </w:rPr>
      <w:fldChar w:fldCharType="begin"/>
    </w:r>
    <w:r>
      <w:rPr>
        <w:color w:val="555555"/>
        <w:sz w:val="20"/>
      </w:rPr>
      <w:instrText xml:space="preserve"> PAGE </w:instrText>
    </w:r>
    <w:r>
      <w:rPr>
        <w:color w:val="555555"/>
        <w:sz w:val="20"/>
      </w:rPr>
      <w:fldChar w:fldCharType="separate"/>
    </w:r>
    <w:r>
      <w:rPr>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FBA83" w14:textId="77777777" w:rsidR="00C33799" w:rsidRDefault="00C33799">
      <w:pPr>
        <w:spacing w:after="0" w:line="240" w:lineRule="auto"/>
      </w:pPr>
      <w:r>
        <w:separator/>
      </w:r>
    </w:p>
  </w:footnote>
  <w:footnote w:type="continuationSeparator" w:id="0">
    <w:p w14:paraId="5119FD35" w14:textId="77777777" w:rsidR="00C33799" w:rsidRDefault="00C33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6B8E"/>
    <w:rsid w:val="00896BD7"/>
    <w:rsid w:val="00AA1D8D"/>
    <w:rsid w:val="00B47730"/>
    <w:rsid w:val="00C33799"/>
    <w:rsid w:val="00CB0664"/>
    <w:rsid w:val="00D94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9B85F"/>
  <w14:defaultImageDpi w14:val="300"/>
  <w15:docId w15:val="{5D2D37B8-27E4-42CF-A549-53F035B0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hAnsi="Times New Roman"/>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3934</Words>
  <Characters>21638</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 FRANCO AROCUTIPA AROCUTIPA</cp:lastModifiedBy>
  <cp:revision>2</cp:revision>
  <dcterms:created xsi:type="dcterms:W3CDTF">2026-10-10T06:32:00Z</dcterms:created>
  <dcterms:modified xsi:type="dcterms:W3CDTF">2026-10-10T06:32:00Z</dcterms:modified>
  <cp:category/>
</cp:coreProperties>
</file>