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b/>
          <w:color w:val="16285C"/>
          <w:sz w:val="32"/>
        </w:rPr>
        <w:t>ANEXO A · INSTRUMENTO CVF (OCAI) · MPT</w:t>
      </w:r>
    </w:p>
    <w:p>
      <w:pPr>
        <w:pStyle w:val="Heading1"/>
      </w:pPr>
      <w:r>
        <w:rPr>
          <w:color w:val="16285C"/>
        </w:rPr>
        <w:t>Instrumento de Diagnóstico de Cultura Organizacional · Competing Values Framework (OCAI)</w:t>
      </w:r>
    </w:p>
    <w:p>
      <w:pPr>
        <w:pStyle w:val="Heading2"/>
      </w:pPr>
      <w:r>
        <w:rPr>
          <w:color w:val="1E293B"/>
        </w:rPr>
        <w:t>Municipalidad Provincial de Tacna (MPT)</w:t>
      </w:r>
    </w:p>
    <w:p>
      <w:pPr>
        <w:spacing w:after="80"/>
      </w:pPr>
      <w:r>
        <w:rPr>
          <w:rFonts w:ascii="Calibri" w:hAnsi="Calibri"/>
          <w:sz w:val="19"/>
        </w:rPr>
        <w:t>**Código del Instrumento:** `CU01_instrumento.md`</w:t>
      </w:r>
    </w:p>
    <w:p>
      <w:pPr>
        <w:spacing w:after="80"/>
      </w:pPr>
      <w:r>
        <w:rPr>
          <w:rFonts w:ascii="Calibri" w:hAnsi="Calibri"/>
          <w:sz w:val="19"/>
        </w:rPr>
        <w:t>**Referencia Metodológica:** Cameron, K. S. &amp; Quinn, R. E. (*Diagnosing and Changing Organizational Culture*, 3.ª ed.)</w:t>
      </w:r>
    </w:p>
    <w:p>
      <w:pPr>
        <w:spacing w:after="80"/>
      </w:pPr>
      <w:r>
        <w:rPr>
          <w:rFonts w:ascii="Calibri" w:hAnsi="Calibri"/>
          <w:sz w:val="19"/>
        </w:rPr>
        <w:t>**Marco Institucional:** Plan Estratégico Institucional (PEI 2025-2030) · OEI.07 Fortalecer el Gobierno Digital</w:t>
      </w:r>
    </w:p>
    <w:p>
      <w:pPr>
        <w:spacing w:after="80"/>
      </w:pPr>
      <w:r>
        <w:rPr>
          <w:rFonts w:ascii="Calibri" w:hAnsi="Calibri"/>
          <w:sz w:val="19"/>
        </w:rPr>
        <w:t>**Normativa de Protección de Datos:** Ley N° 29733 y D. S. 016-2024-JUS (Tratamiento anónimo de datos)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2"/>
      </w:pPr>
      <w:r>
        <w:rPr>
          <w:color w:val="1E293B"/>
        </w:rPr>
        <w:t>1. Instrucciones para el Respondiente</w:t>
      </w:r>
    </w:p>
    <w:p>
      <w:pPr>
        <w:spacing w:after="80"/>
      </w:pPr>
      <w:r>
        <w:rPr>
          <w:rFonts w:ascii="Calibri" w:hAnsi="Calibri"/>
          <w:sz w:val="19"/>
        </w:rPr>
        <w:t>El presente instrumento tiene como finalidad diagnosticar la cultura organizacional predominante en la **Municipalidad Provincial de Tacna (MPT)** y determinar la orientación cultural requerida para viabilizar el **Plan Estratégico de Tecnologías de la Información (PETI)** y los proyectos de modernización y gobierno digital (OEI.07).</w:t>
      </w:r>
    </w:p>
    <w:p>
      <w:pPr>
        <w:spacing w:after="80"/>
      </w:pPr>
      <w:r>
        <w:rPr>
          <w:rFonts w:ascii="Calibri" w:hAnsi="Calibri"/>
          <w:sz w:val="19"/>
        </w:rPr>
        <w:t>El cuestionario consta de **seis dimensiones clave**. Para cada dimensión, se presentan cuatro afirmaciones correspondientes a los cuatro tipos de cultura organizacional:</w:t>
      </w:r>
    </w:p>
    <w:p>
      <w:pPr>
        <w:pStyle w:val="ListBullet"/>
      </w:pPr>
      <w:r>
        <w:rPr>
          <w:sz w:val="19"/>
        </w:rPr>
        <w:t>**A — Cultura Clan (Colaborativa / Orientación Interna y Flexibilidad):** Enfatiza el trabajo en equipo, la mentoría, el compromiso del personal y el desarrollo del servidor público.</w:t>
      </w:r>
    </w:p>
    <w:p>
      <w:pPr>
        <w:pStyle w:val="ListBullet"/>
      </w:pPr>
      <w:r>
        <w:rPr>
          <w:sz w:val="19"/>
        </w:rPr>
        <w:t>**B — Cultura Adhocracia (Innovadora / Orientación Externa y Flexibilidad):** Enfatiza el dinamismo, la creatividad, la asunción de riesgos calculados y la innovación tecnológica.</w:t>
      </w:r>
    </w:p>
    <w:p>
      <w:pPr>
        <w:pStyle w:val="ListBullet"/>
      </w:pPr>
      <w:r>
        <w:rPr>
          <w:sz w:val="19"/>
        </w:rPr>
        <w:t>**C — Cultura Mercado (Competitiva / Orientación Externa y Control):** Enfatiza el cumplimiento estricto de metas, indicadores cuantitativos, eficacia en la recaudación y respuesta a demandas ciudadanas.</w:t>
      </w:r>
    </w:p>
    <w:p>
      <w:pPr>
        <w:pStyle w:val="ListBullet"/>
      </w:pPr>
      <w:r>
        <w:rPr>
          <w:sz w:val="19"/>
        </w:rPr>
        <w:t>**D — Cultura Jerarquía (Estructurada / Orientación Interna y Control):** Enfatiza el cumplimiento del marco legal, manuales de procedimientos (MAPRO, TUPA, ROF), directivas formales, predictibilidad y control de expedientes.</w:t>
      </w:r>
    </w:p>
    <w:p>
      <w:pPr>
        <w:spacing w:after="80"/>
      </w:pPr>
      <w:r>
        <w:rPr>
          <w:rFonts w:ascii="Calibri" w:hAnsi="Calibri"/>
          <w:sz w:val="19"/>
        </w:rPr>
        <w:t>&gt; **REGLA METODOLÓGICA DE APLICACIÓN OBLIGATORIA (SUMA FORZADA):**</w:t>
      </w:r>
    </w:p>
    <w:p>
      <w:pPr>
        <w:spacing w:after="80"/>
      </w:pPr>
      <w:r>
        <w:rPr>
          <w:rFonts w:ascii="Calibri" w:hAnsi="Calibri"/>
          <w:sz w:val="19"/>
        </w:rPr>
        <w:t>&gt; En cada una de las seis dimensiones, usted debe **repartir exactamente 100 puntos** entre las cuatro afirmaciones (A + B + C + D = 100).</w:t>
      </w:r>
    </w:p>
    <w:p>
      <w:pPr>
        <w:spacing w:after="80"/>
      </w:pPr>
      <w:r>
        <w:rPr>
          <w:rFonts w:ascii="Calibri" w:hAnsi="Calibri"/>
          <w:sz w:val="19"/>
        </w:rPr>
        <w:t>&gt; Debe completar esta distribución en dos columnas diferenciadas:</w:t>
      </w:r>
    </w:p>
    <w:p>
      <w:pPr>
        <w:spacing w:after="80"/>
      </w:pPr>
      <w:r>
        <w:rPr>
          <w:rFonts w:ascii="Calibri" w:hAnsi="Calibri"/>
          <w:sz w:val="19"/>
        </w:rPr>
        <w:t>&gt; 1. **Momento ACTUAL:** Refleja cómo opera la Municipalidad Provincial de Tacna **hoy en día**.</w:t>
      </w:r>
    </w:p>
    <w:p>
      <w:pPr>
        <w:spacing w:after="80"/>
      </w:pPr>
      <w:r>
        <w:rPr>
          <w:rFonts w:ascii="Calibri" w:hAnsi="Calibri"/>
          <w:sz w:val="19"/>
        </w:rPr>
        <w:t>&gt; 2. **Momento DESEADO:** Refleja cómo debería operar la institución **en los próximos 5 años (al 2030)** para alcanzar los objetivos estratégicos de modernización.</w:t>
      </w:r>
    </w:p>
    <w:p>
      <w:pPr>
        <w:spacing w:after="80"/>
      </w:pPr>
      <w:r>
        <w:rPr>
          <w:rFonts w:ascii="Calibri" w:hAnsi="Calibri"/>
          <w:sz w:val="19"/>
        </w:rPr>
        <w:t>&gt; *Cualquier respuesta donde la suma no sea exactamente igual a 100 será anulada por el sistema de control de calidad.*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2"/>
      </w:pPr>
      <w:r>
        <w:rPr>
          <w:color w:val="1E293B"/>
        </w:rPr>
        <w:t>2. Dimensiones del Cuestionario</w:t>
      </w:r>
    </w:p>
    <w:p>
      <w:pPr>
        <w:pStyle w:val="Heading3"/>
      </w:pPr>
      <w:r>
        <w:rPr>
          <w:color w:val="475569"/>
        </w:rPr>
        <w:t>Dimensión 1: Características Dominantes</w:t>
      </w:r>
    </w:p>
    <w:p>
      <w:r>
        <w:rPr>
          <w:rFonts w:ascii="Consolas" w:hAnsi="Consolas"/>
          <w:sz w:val="16"/>
        </w:rPr>
        <w:t>| Código | Tipo de Cultura | Afirmación (Descripción Institucional MPT) | Puntos ACTUAL | Puntos DESEADO (5 años) |</w:t>
      </w:r>
    </w:p>
    <w:p>
      <w:r>
        <w:rPr>
          <w:rFonts w:ascii="Consolas" w:hAnsi="Consolas"/>
          <w:sz w:val="16"/>
        </w:rPr>
        <w:t>|---|---|---|:---:|:---:|</w:t>
      </w:r>
    </w:p>
    <w:p>
      <w:r>
        <w:rPr>
          <w:rFonts w:ascii="Consolas" w:hAnsi="Consolas"/>
          <w:sz w:val="16"/>
        </w:rPr>
        <w:t>| **1.A** | Clan | La municipalidad es como una gran familia extendida; prima el compañerismo, la confianza y el apoyo mutuo entre los trabajadores. | [ ] | [ ] |</w:t>
      </w:r>
    </w:p>
    <w:p>
      <w:r>
        <w:rPr>
          <w:rFonts w:ascii="Consolas" w:hAnsi="Consolas"/>
          <w:sz w:val="16"/>
        </w:rPr>
        <w:t>| **1.B** | Adhocracia | La municipalidad es dinámica y orientada al cambio; se alienta a los servidores a proponer soluciones novedosas y digitalización. | [ ] | [ ] |</w:t>
      </w:r>
    </w:p>
    <w:p>
      <w:r>
        <w:rPr>
          <w:rFonts w:ascii="Consolas" w:hAnsi="Consolas"/>
          <w:sz w:val="16"/>
        </w:rPr>
        <w:t>| **1.C** | Mercado | La municipalidad está fuertemente orientada a resultados e indicadores de gestión; lo esencial es cumplir metas de recaudación y trámites. | [ ] | [ ] |</w:t>
      </w:r>
    </w:p>
    <w:p>
      <w:r>
        <w:rPr>
          <w:rFonts w:ascii="Consolas" w:hAnsi="Consolas"/>
          <w:sz w:val="16"/>
        </w:rPr>
        <w:t>| **1.D** | Jerarquía | La municipalidad es un entorno altamente formalizado y normado; los procedimientos estandarizados, leyes y resoluciones rigen todo acto. | [ ] | [ ] |</w:t>
      </w:r>
    </w:p>
    <w:p>
      <w:r>
        <w:rPr>
          <w:rFonts w:ascii="Consolas" w:hAnsi="Consolas"/>
          <w:sz w:val="16"/>
        </w:rPr>
        <w:t>| **TOTAL** | | *La suma de 1.A + 1.B + 1.C + 1.D debe ser exactamente:* | **100** | **100**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Dimensión 2: Estilo de Liderazgo Institucional</w:t>
      </w:r>
    </w:p>
    <w:p>
      <w:r>
        <w:rPr>
          <w:rFonts w:ascii="Consolas" w:hAnsi="Consolas"/>
          <w:sz w:val="16"/>
        </w:rPr>
        <w:t>| Código | Tipo de Cultura | Afirmación (Descripción Institucional MPT) | Puntos ACTUAL | Puntos DESEADO (5 años) |</w:t>
      </w:r>
    </w:p>
    <w:p>
      <w:r>
        <w:rPr>
          <w:rFonts w:ascii="Consolas" w:hAnsi="Consolas"/>
          <w:sz w:val="16"/>
        </w:rPr>
        <w:t>|---|---|---|:---:|:---:|</w:t>
      </w:r>
    </w:p>
    <w:p>
      <w:r>
        <w:rPr>
          <w:rFonts w:ascii="Consolas" w:hAnsi="Consolas"/>
          <w:sz w:val="16"/>
        </w:rPr>
        <w:t>| **2.A** | Clan | Los directivos y gerentes actúan como mentores y facilitadores, brindando respaldo y fomentando la cohesión del equipo. | [ ] | [ ] |</w:t>
      </w:r>
    </w:p>
    <w:p>
      <w:r>
        <w:rPr>
          <w:rFonts w:ascii="Consolas" w:hAnsi="Consolas"/>
          <w:sz w:val="16"/>
        </w:rPr>
        <w:t>| **2.B** | Adhocracia | Los directivos impulsan la innovación, asumen desafíos tecnológicos y promueven la modernización de procesos. | [ ] | [ ] |</w:t>
      </w:r>
    </w:p>
    <w:p>
      <w:r>
        <w:rPr>
          <w:rFonts w:ascii="Consolas" w:hAnsi="Consolas"/>
          <w:sz w:val="16"/>
        </w:rPr>
        <w:t>| **2.C** | Mercado | Los directivos son pragmáticos, exigentes y enfocados en la productividad, el cumplimiento de plazos y recaudación coactiva. | [ ] | [ ] |</w:t>
      </w:r>
    </w:p>
    <w:p>
      <w:r>
        <w:rPr>
          <w:rFonts w:ascii="Consolas" w:hAnsi="Consolas"/>
          <w:sz w:val="16"/>
        </w:rPr>
        <w:t>| **2.D** | Jerarquía | Los directivos son coordinadores rigurosos y organizadores; cuidan celosamente el apego estricto a las normas, directivas y auditorías. | [ ] | [ ] |</w:t>
      </w:r>
    </w:p>
    <w:p>
      <w:r>
        <w:rPr>
          <w:rFonts w:ascii="Consolas" w:hAnsi="Consolas"/>
          <w:sz w:val="16"/>
        </w:rPr>
        <w:t>| **TOTAL** | | *La suma de 2.A + 2.B + 2.C + 2.D debe ser exactamente:* | **100** | **100**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Dimensión 3: Gestión del Personal (Ambiente de Trabajo)</w:t>
      </w:r>
    </w:p>
    <w:p>
      <w:r>
        <w:rPr>
          <w:rFonts w:ascii="Consolas" w:hAnsi="Consolas"/>
          <w:sz w:val="16"/>
        </w:rPr>
        <w:t>| Código | Tipo de Cultura | Afirmación (Descripción Institucional MPT) | Puntos ACTUAL | Puntos DESEADO (5 años) |</w:t>
      </w:r>
    </w:p>
    <w:p>
      <w:r>
        <w:rPr>
          <w:rFonts w:ascii="Consolas" w:hAnsi="Consolas"/>
          <w:sz w:val="16"/>
        </w:rPr>
        <w:t>|---|---|---|:---:|:---:|</w:t>
      </w:r>
    </w:p>
    <w:p>
      <w:r>
        <w:rPr>
          <w:rFonts w:ascii="Consolas" w:hAnsi="Consolas"/>
          <w:sz w:val="16"/>
        </w:rPr>
        <w:t>| **3.A** | Clan | Se promueve el trabajo colaborativo, la participación activa de los trabajadores y el consenso en las decisiones. | [ ] | [ ] |</w:t>
      </w:r>
    </w:p>
    <w:p>
      <w:r>
        <w:rPr>
          <w:rFonts w:ascii="Consolas" w:hAnsi="Consolas"/>
          <w:sz w:val="16"/>
        </w:rPr>
        <w:t>| **3.B** | Adhocracia | Se promueve la autonomía individual, la iniciativa propia, la creatividad y la adopción de nuevas herramientas de TI. | [ ] | [ ] |</w:t>
      </w:r>
    </w:p>
    <w:p>
      <w:r>
        <w:rPr>
          <w:rFonts w:ascii="Consolas" w:hAnsi="Consolas"/>
          <w:sz w:val="16"/>
        </w:rPr>
        <w:t>| **3.C** | Mercado | Se promueve la competitividad interna, el alto rendimiento y la evaluación rigurosa según resultados tangibles. | [ ] | [ ] |</w:t>
      </w:r>
    </w:p>
    <w:p>
      <w:r>
        <w:rPr>
          <w:rFonts w:ascii="Consolas" w:hAnsi="Consolas"/>
          <w:sz w:val="16"/>
        </w:rPr>
        <w:t>| **3.D** | Jerarquía | Se promueve la seguridad del puesto, la predictibilidad, la jerarquía de mando y la disciplina procedimental estricta. | [ ] | [ ] |</w:t>
      </w:r>
    </w:p>
    <w:p>
      <w:r>
        <w:rPr>
          <w:rFonts w:ascii="Consolas" w:hAnsi="Consolas"/>
          <w:sz w:val="16"/>
        </w:rPr>
        <w:t>| **TOTAL** | | *La suma de 3.A + 3.B + 3.C + 3.D debe ser exactamente:* | **100** | **100**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Dimensión 4: Cohesión Institucional (Mecanismo de Unión)</w:t>
      </w:r>
    </w:p>
    <w:p>
      <w:r>
        <w:rPr>
          <w:rFonts w:ascii="Consolas" w:hAnsi="Consolas"/>
          <w:sz w:val="16"/>
        </w:rPr>
        <w:t>| Código | Tipo de Cultura | Afirmación (Descripción Institucional MPT) | Puntos ACTUAL | Puntos DESEADO (5 años) |</w:t>
      </w:r>
    </w:p>
    <w:p>
      <w:r>
        <w:rPr>
          <w:rFonts w:ascii="Consolas" w:hAnsi="Consolas"/>
          <w:sz w:val="16"/>
        </w:rPr>
        <w:t>|---|---|---|:---:|:---:|</w:t>
      </w:r>
    </w:p>
    <w:p>
      <w:r>
        <w:rPr>
          <w:rFonts w:ascii="Consolas" w:hAnsi="Consolas"/>
          <w:sz w:val="16"/>
        </w:rPr>
        <w:t>| **4.A** | Clan | Lo que mantiene unida a la institución es la lealtad compartida, la camaradería y la tradición de servicio público. | [ ] | [ ] |</w:t>
      </w:r>
    </w:p>
    <w:p>
      <w:r>
        <w:rPr>
          <w:rFonts w:ascii="Consolas" w:hAnsi="Consolas"/>
          <w:sz w:val="16"/>
        </w:rPr>
        <w:t>| **4.B** | Adhocracia | Lo que mantiene unida a la institución es el compromiso con la modernización, la transformación digital y el desarrollo provincial. | [ ] | [ ] |</w:t>
      </w:r>
    </w:p>
    <w:p>
      <w:r>
        <w:rPr>
          <w:rFonts w:ascii="Consolas" w:hAnsi="Consolas"/>
          <w:sz w:val="16"/>
        </w:rPr>
        <w:t>| **4.C** | Mercado | Lo que mantiene unida a la institución es el enfoque en el cumplimiento de los planes operativos institucionales (POI) y metas presupuestales. | [ ] | [ ] |</w:t>
      </w:r>
    </w:p>
    <w:p>
      <w:r>
        <w:rPr>
          <w:rFonts w:ascii="Consolas" w:hAnsi="Consolas"/>
          <w:sz w:val="16"/>
        </w:rPr>
        <w:t>| **4.D** | Jerarquía | Lo que mantiene unida a la institución es el respeto a los reglamentos formales (ROF, RISST), jerarquía y políticas institucionales. | [ ] | [ ] |</w:t>
      </w:r>
    </w:p>
    <w:p>
      <w:r>
        <w:rPr>
          <w:rFonts w:ascii="Consolas" w:hAnsi="Consolas"/>
          <w:sz w:val="16"/>
        </w:rPr>
        <w:t>| **TOTAL** | | *La suma de 4.A + 4.B + 4.C + 4.D debe ser exactamente:* | **100** | **100**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Dimensión 5: Énfasis Estratégico</w:t>
      </w:r>
    </w:p>
    <w:p>
      <w:r>
        <w:rPr>
          <w:rFonts w:ascii="Consolas" w:hAnsi="Consolas"/>
          <w:sz w:val="16"/>
        </w:rPr>
        <w:t>| Código | Tipo de Cultura | Afirmación (Descripción Institucional MPT) | Puntos ACTUAL | Puntos DESEADO (5 años) |</w:t>
      </w:r>
    </w:p>
    <w:p>
      <w:r>
        <w:rPr>
          <w:rFonts w:ascii="Consolas" w:hAnsi="Consolas"/>
          <w:sz w:val="16"/>
        </w:rPr>
        <w:t>|---|---|---|:---:|:---:|</w:t>
      </w:r>
    </w:p>
    <w:p>
      <w:r>
        <w:rPr>
          <w:rFonts w:ascii="Consolas" w:hAnsi="Consolas"/>
          <w:sz w:val="16"/>
        </w:rPr>
        <w:t>| **5.A** | Clan | La municipalidad prioriza el desarrollo humano de sus trabajadores, el clima laboral, la confianza y la transparencia interna. | [ ] | [ ] |</w:t>
      </w:r>
    </w:p>
    <w:p>
      <w:r>
        <w:rPr>
          <w:rFonts w:ascii="Consolas" w:hAnsi="Consolas"/>
          <w:sz w:val="16"/>
        </w:rPr>
        <w:t>| **5.B** | Adhocracia | La municipalidad prioriza la innovación en servicios digitales, la transformación tecnológica y la capacidad de rápida adaptación. | [ ] | [ ] |</w:t>
      </w:r>
    </w:p>
    <w:p>
      <w:r>
        <w:rPr>
          <w:rFonts w:ascii="Consolas" w:hAnsi="Consolas"/>
          <w:sz w:val="16"/>
        </w:rPr>
        <w:t>| **5.C** | Mercado | La municipalidad prioriza la eficiencia recaudatoria, la captación de inversiones y la atención competitiva de demandas de los vecinos. | [ ] | [ ] |</w:t>
      </w:r>
    </w:p>
    <w:p>
      <w:r>
        <w:rPr>
          <w:rFonts w:ascii="Consolas" w:hAnsi="Consolas"/>
          <w:sz w:val="16"/>
        </w:rPr>
        <w:t>| **5.D** | Jerarquía | La municipalidad prioriza la estabilidad jurídica, el orden administrativo, la continuidad operativa y el blindaje ante el OCI. | [ ] | [ ] |</w:t>
      </w:r>
    </w:p>
    <w:p>
      <w:r>
        <w:rPr>
          <w:rFonts w:ascii="Consolas" w:hAnsi="Consolas"/>
          <w:sz w:val="16"/>
        </w:rPr>
        <w:t>| **TOTAL** | | *La suma de 5.A + 5.B + 5.C + 5.D debe ser exactamente:* | **100** | **100**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Dimensión 6: Criterio de Éxito</w:t>
      </w:r>
    </w:p>
    <w:p>
      <w:r>
        <w:rPr>
          <w:rFonts w:ascii="Consolas" w:hAnsi="Consolas"/>
          <w:sz w:val="16"/>
        </w:rPr>
        <w:t>| Código | Tipo de Cultura | Afirmación (Descripción Institucional MPT) | Puntos ACTUAL | Puntos DESEADO (5 años) |</w:t>
      </w:r>
    </w:p>
    <w:p>
      <w:r>
        <w:rPr>
          <w:rFonts w:ascii="Consolas" w:hAnsi="Consolas"/>
          <w:sz w:val="16"/>
        </w:rPr>
        <w:t>|---|---|---|:---:|:---:|</w:t>
      </w:r>
    </w:p>
    <w:p>
      <w:r>
        <w:rPr>
          <w:rFonts w:ascii="Consolas" w:hAnsi="Consolas"/>
          <w:sz w:val="16"/>
        </w:rPr>
        <w:t>| **6.A** | Clan | El éxito se define por el desarrollo de competencias del personal, la satisfacción laboral y el trabajo coordinado y solidario. | [ ] | [ ] |</w:t>
      </w:r>
    </w:p>
    <w:p>
      <w:r>
        <w:rPr>
          <w:rFonts w:ascii="Consolas" w:hAnsi="Consolas"/>
          <w:sz w:val="16"/>
        </w:rPr>
        <w:t>| **6.B** | Adhocracia | El éxito se define por la implementación de servicios digitales pioneros, plataformas automatizadas e interoperabilidad. | [ ] | [ ] |</w:t>
      </w:r>
    </w:p>
    <w:p>
      <w:r>
        <w:rPr>
          <w:rFonts w:ascii="Consolas" w:hAnsi="Consolas"/>
          <w:sz w:val="16"/>
        </w:rPr>
        <w:t>| **6.C** | Mercado | El éxito se define por el liderazgo provincial, la máxima recaudación de arbitrios e impuestos y la ejecución presupuestal óptima. | [ ] | [ ] |</w:t>
      </w:r>
    </w:p>
    <w:p>
      <w:r>
        <w:rPr>
          <w:rFonts w:ascii="Consolas" w:hAnsi="Consolas"/>
          <w:sz w:val="16"/>
        </w:rPr>
        <w:t>| **6.D** | Jerarquía | El éxito se define por la confiabilidad del servicio, cero observaciones de auditoría gubernamental y cumplimiento normativo del 100%. | [ ] | [ ] |</w:t>
      </w:r>
    </w:p>
    <w:p>
      <w:r>
        <w:rPr>
          <w:rFonts w:ascii="Consolas" w:hAnsi="Consolas"/>
          <w:sz w:val="16"/>
        </w:rPr>
        <w:t>| **TOTAL** | | *La suma de 6.A + 6.B + 6.C + 6.D debe ser exactamente:* | **100** | **100**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2"/>
      </w:pPr>
      <w:r>
        <w:rPr>
          <w:color w:val="1E293B"/>
        </w:rPr>
        <w:t>3. Datos del Respondiente (Control Demográfico Agregado)</w:t>
      </w:r>
    </w:p>
    <w:p>
      <w:pPr>
        <w:spacing w:after="80"/>
      </w:pPr>
      <w:r>
        <w:rPr>
          <w:rFonts w:ascii="Calibri" w:hAnsi="Calibri"/>
          <w:sz w:val="19"/>
        </w:rPr>
        <w:t>*Para garantizar el estricto anonimato (Art. 1.3 de la Guía y Ley 29733), solo se consigna el área funcional y el rango de permanencia en la institución:*</w:t>
      </w:r>
    </w:p>
    <w:p>
      <w:pPr>
        <w:spacing w:after="80"/>
      </w:pPr>
      <w:r>
        <w:rPr>
          <w:rFonts w:ascii="Calibri" w:hAnsi="Calibri"/>
          <w:sz w:val="19"/>
        </w:rPr>
        <w:t>1. **Órgano / Gerencia de Adscripción:**</w:t>
      </w:r>
    </w:p>
    <w:p>
      <w:pPr>
        <w:pStyle w:val="ListBullet"/>
      </w:pPr>
      <w:r>
        <w:rPr>
          <w:sz w:val="19"/>
        </w:rPr>
        <w:t>[ ] Oficina General de Tecnologías de la Información y Comunicación (OGTIC)</w:t>
      </w:r>
    </w:p>
    <w:p>
      <w:pPr>
        <w:pStyle w:val="ListBullet"/>
      </w:pPr>
      <w:r>
        <w:rPr>
          <w:sz w:val="19"/>
        </w:rPr>
        <w:t>[ ] Gerencia de Gestión Tributaria (GGT)</w:t>
      </w:r>
    </w:p>
    <w:p>
      <w:pPr>
        <w:pStyle w:val="ListBullet"/>
      </w:pPr>
      <w:r>
        <w:rPr>
          <w:sz w:val="19"/>
        </w:rPr>
        <w:t>[ ] Oficina General de Administración y Finanzas (OGAF)</w:t>
      </w:r>
    </w:p>
    <w:p>
      <w:pPr>
        <w:pStyle w:val="ListBullet"/>
      </w:pPr>
      <w:r>
        <w:rPr>
          <w:sz w:val="19"/>
        </w:rPr>
        <w:t>[ ] Oficina General de Atención al Ciudadano y Gestión Documentaria (OGACGD)</w:t>
      </w:r>
    </w:p>
    <w:p>
      <w:pPr>
        <w:pStyle w:val="ListBullet"/>
      </w:pPr>
      <w:r>
        <w:rPr>
          <w:sz w:val="19"/>
        </w:rPr>
        <w:t>[ ] Gerencia de Desarrollo Urbano (GDU)</w:t>
      </w:r>
    </w:p>
    <w:p>
      <w:pPr>
        <w:pStyle w:val="ListBullet"/>
      </w:pPr>
      <w:r>
        <w:rPr>
          <w:sz w:val="19"/>
        </w:rPr>
        <w:t>[ ] Gerencia de Transporte Público y Seguridad Ciudadana (GTPSC)</w:t>
      </w:r>
    </w:p>
    <w:p>
      <w:pPr>
        <w:pStyle w:val="ListBullet"/>
      </w:pPr>
      <w:r>
        <w:rPr>
          <w:sz w:val="19"/>
        </w:rPr>
        <w:t>[ ] Oficina General de Planeamiento, Presupuesto y Modernización Institucional (OGPPMI)</w:t>
      </w:r>
    </w:p>
    <w:p>
      <w:pPr>
        <w:pStyle w:val="ListBullet"/>
      </w:pPr>
      <w:r>
        <w:rPr>
          <w:sz w:val="19"/>
        </w:rPr>
        <w:t>[ ] Otra Gerencia / Oficina</w:t>
      </w:r>
    </w:p>
    <w:p>
      <w:pPr>
        <w:spacing w:after="80"/>
      </w:pPr>
      <w:r>
        <w:rPr>
          <w:rFonts w:ascii="Calibri" w:hAnsi="Calibri"/>
          <w:sz w:val="19"/>
        </w:rPr>
        <w:t>2. **Régimen Laboral / Antigüedad en la MPT:**</w:t>
      </w:r>
    </w:p>
    <w:p>
      <w:pPr>
        <w:pStyle w:val="ListBullet"/>
      </w:pPr>
      <w:r>
        <w:rPr>
          <w:sz w:val="19"/>
        </w:rPr>
        <w:t>[ ] Menos de 2 años (CAS / Contratado)</w:t>
      </w:r>
    </w:p>
    <w:p>
      <w:pPr>
        <w:pStyle w:val="ListBullet"/>
      </w:pPr>
      <w:r>
        <w:rPr>
          <w:sz w:val="19"/>
        </w:rPr>
        <w:t>[ ] De 2 a 5 años (CAS)</w:t>
      </w:r>
    </w:p>
    <w:p>
      <w:pPr>
        <w:pStyle w:val="ListBullet"/>
      </w:pPr>
      <w:r>
        <w:rPr>
          <w:sz w:val="19"/>
        </w:rPr>
        <w:t>[ ] Más de 5 años (D.L. 276 / Nombrado / D.L. 728)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