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/>
          <w:color w:val="16285C"/>
          <w:sz w:val="32"/>
        </w:rPr>
        <w:t>ANEXO E · SECCIONES 2.3 Y 2.4 DEL PETI · MPT</w:t>
      </w:r>
    </w:p>
    <w:p>
      <w:pPr>
        <w:pStyle w:val="Heading1"/>
      </w:pPr>
      <w:r>
        <w:rPr>
          <w:color w:val="16285C"/>
        </w:rPr>
        <w:t>ANEXO E: SECCIONES 2.3 Y 2.4 DEL PETI</w:t>
      </w:r>
    </w:p>
    <w:p>
      <w:pPr>
        <w:pStyle w:val="Heading2"/>
      </w:pPr>
      <w:r>
        <w:rPr>
          <w:color w:val="1E293B"/>
        </w:rPr>
        <w:t>Municipalidad Provincial de Tacna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1"/>
      </w:pPr>
      <w:r>
        <w:rPr>
          <w:color w:val="16285C"/>
        </w:rPr>
        <w:t>Sección 2.3 · Valores Institucionales y Tecnológicos</w:t>
      </w:r>
    </w:p>
    <w:p>
      <w:pPr>
        <w:pStyle w:val="Heading2"/>
      </w:pPr>
      <w:r>
        <w:rPr>
          <w:color w:val="1E293B"/>
        </w:rPr>
        <w:t>Municipalidad Provincial de Tacna (MPT)</w:t>
      </w:r>
    </w:p>
    <w:p>
      <w:pPr>
        <w:spacing w:after="80"/>
      </w:pPr>
      <w:r>
        <w:rPr>
          <w:rFonts w:ascii="Calibri" w:hAnsi="Calibri"/>
          <w:sz w:val="19"/>
        </w:rPr>
        <w:t>**Documento:** `2.3_valores.md`</w:t>
      </w:r>
    </w:p>
    <w:p>
      <w:pPr>
        <w:spacing w:after="80"/>
      </w:pPr>
      <w:r>
        <w:rPr>
          <w:rFonts w:ascii="Calibri" w:hAnsi="Calibri"/>
          <w:sz w:val="19"/>
        </w:rPr>
        <w:t>**Instrumentos Base:** Ley N° 27815 (Código de Ética de la Función Pública), PEI 2025-2030, RISST 2024 y Diagnóstico CVF/OCAI.</w:t>
      </w:r>
    </w:p>
    <w:p>
      <w:pPr>
        <w:spacing w:after="80"/>
      </w:pPr>
      <w:r>
        <w:rPr>
          <w:rFonts w:ascii="Calibri" w:hAnsi="Calibri"/>
          <w:sz w:val="19"/>
        </w:rPr>
        <w:t>**Premisa Operativa:** Un valor que no define conductas observables ni establece renuncias concretas no orienta ninguna decisión. Los valores de la MPT se formulan como compromisos de acción verificables y exigibles.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2"/>
      </w:pPr>
      <w:r>
        <w:rPr>
          <w:color w:val="1E293B"/>
        </w:rPr>
        <w:t>2.3 Valores</w:t>
      </w:r>
    </w:p>
    <w:p>
      <w:pPr>
        <w:pStyle w:val="Heading3"/>
      </w:pPr>
      <w:r>
        <w:rPr>
          <w:color w:val="475569"/>
        </w:rPr>
        <w:t>2.3.1 Valores de la Organización (Formulación Conductual)</w:t>
      </w:r>
    </w:p>
    <w:p>
      <w:r>
        <w:rPr>
          <w:rFonts w:ascii="Consolas" w:hAnsi="Consolas"/>
          <w:sz w:val="16"/>
        </w:rPr>
        <w:t>| # | Valor (Enunciado Conductual) | Conducta que lo Cumple | Conducta que lo Viola | Consecuencia del Incumplimiento | ¿A qué se Renuncia al Sostenerlo? |</w:t>
      </w:r>
    </w:p>
    <w:p>
      <w:r>
        <w:rPr>
          <w:rFonts w:ascii="Consolas" w:hAnsi="Consolas"/>
          <w:sz w:val="16"/>
        </w:rPr>
        <w:t>|---|---|---|---|---|---|</w:t>
      </w:r>
    </w:p>
    <w:p>
      <w:r>
        <w:rPr>
          <w:rFonts w:ascii="Consolas" w:hAnsi="Consolas"/>
          <w:sz w:val="16"/>
        </w:rPr>
        <w:t>| **V1** | **Integridad y Probidad en el Servicio Público**&lt;br&gt;Actuamos con honestidad irreprochable, priorizando el interés colectivo tacneño y resguardando los recursos municipales con total transparencia. | Registrar cada transacción, expediente y acto administrativo de forma trazable en los sistemas informáticos institucionales, reportando anomalías de inmediato. | Alterar registros, eliminar trazas de auditoría (logs), favorecer a particulares en trámites o utilizar bienes tecnológicos ediles con fines personales. | Apertura de Procedimiento Administrativo Disciplinario (PAD) sancionador, inhabilitación de la función pública y denuncia penal ante la Fiscalía. | Se renuncia a la discrecionalidad informal, al "favor político" y a la opacidad en la toma de decisiones. |</w:t>
      </w:r>
    </w:p>
    <w:p>
      <w:r>
        <w:rPr>
          <w:rFonts w:ascii="Consolas" w:hAnsi="Consolas"/>
          <w:sz w:val="16"/>
        </w:rPr>
        <w:t>| **V2** | **Vocación de Servicio y Empatía Ciudadana**&lt;br&gt;Diseñamos y entregamos servicios orientados a resolver las necesidades reales del vecino tacneño con calidez, celeridad y accesibilidad. | Resolver los requerimientos del administrado dentro del plazo legal, promoviendo canales digitales accesibles e informando en lenguaje claro. | Maltratar al usuario, postergar expedientes intencionalmente (inercia burocrática) o exigir requisitos no contemplados en el TUPA institucional. | Amonestación escrita en legajo personal, remoción del puesto de atención al público y descuento salarial por mora injustificada. | Se renuncia a la comodidad del horario estricto en ventanilla y a la desidia del "vuelva mañana". |</w:t>
      </w:r>
    </w:p>
    <w:p>
      <w:r>
        <w:rPr>
          <w:rFonts w:ascii="Consolas" w:hAnsi="Consolas"/>
          <w:sz w:val="16"/>
        </w:rPr>
        <w:t>| **V3** | **Innovación Abierta y Mejora Continua**&lt;br&gt;Cuestionamos activamente la inercia del trámite en papel, adoptando metodologías ágiles y tecnologías seguras para simplificar la gestión. | Proponer mejoras en los flujos de trabajo, capacitarse en plataformas digitales y adoptar la firma digital eliminando copias físicas redundantes. | Resistirse al uso del sistema digital, exigir expedientes paralelos impresos "por si acaso" o boicotear nuevas herramientas informáticas. | Reasignación de funciones operativas, exclusión de incentivos de productividad institucional y evaluación de desempeño negativa. | Se renuncia a la "zona de confort" de los métodos tradicionales y a la falsa seguridad del sello de tinta. |</w:t>
      </w:r>
    </w:p>
    <w:p>
      <w:r>
        <w:rPr>
          <w:rFonts w:ascii="Consolas" w:hAnsi="Consolas"/>
          <w:sz w:val="16"/>
        </w:rPr>
        <w:t>| **V4** | **Transparencia Activa y Responsabilidad por los Datos**&lt;br&gt;Reconocemos que la información pública pertenece a la ciudadanía y a la institución, no a quien la custodia temporalmente. | Publicar y compartir datos institucionales abiertos, interoperar sistemas con otras gerencias y mantener actualizadas las bases de datos públicas. | Ocultar información, negar el acceso a bases de datos a otras áreas de la municipalidad ("feudos de información") o cobrar por copias indebidas. | Sanción de suspensión temporal sin goce de haber según la Ley de Transparencia y Ley 27815 del Código de Ética. | Se renuncia al poder personal derivado de la retención exclusiva de información ("la información es poder"). |</w:t>
      </w:r>
    </w:p>
    <w:p>
      <w:r>
        <w:rPr>
          <w:rFonts w:ascii="Consolas" w:hAnsi="Consolas"/>
          <w:sz w:val="16"/>
        </w:rPr>
        <w:t>| **V5** | **Colaboración Interdisciplinaria y Respeto Mutuo**&lt;br&gt;Trabajamos como un solo equipo municipal integrado, superando barreras jerárquicas para cumplir los objetivos del PEI. | Participar activamente en mesas técnicas transversales, brindar soporte oportuno a otras gerencias y compartir aprendizajes técnicos. | Culpar a otras áreas por demoras en los proyectos, trabajar de espaldas a los objetivos institucionales o desacreditar aportes técnicos de colegas. | Llamada de atención formal del Comité de Ética y compromiso vinculante de mediación con Recursos Humanos. | Se renuncia al aislamiento departamental ("esto no es de mi gerencia") y a las disputas de protagonismo.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2.3.2 Valores Aplicados a las Decisiones Tecnológicas</w:t>
      </w:r>
    </w:p>
    <w:p>
      <w:r>
        <w:rPr>
          <w:rFonts w:ascii="Consolas" w:hAnsi="Consolas"/>
          <w:sz w:val="16"/>
        </w:rPr>
        <w:t>| # | Tensión Tecnológica Real en la MPT | Valor que la Resuelve | Criterio de Decisión Derivado (Política Vinculante del PETI) |</w:t>
      </w:r>
    </w:p>
    <w:p>
      <w:r>
        <w:rPr>
          <w:rFonts w:ascii="Consolas" w:hAnsi="Consolas"/>
          <w:sz w:val="16"/>
        </w:rPr>
        <w:t>|---|---|---|---|</w:t>
      </w:r>
    </w:p>
    <w:p>
      <w:r>
        <w:rPr>
          <w:rFonts w:ascii="Consolas" w:hAnsi="Consolas"/>
          <w:sz w:val="16"/>
        </w:rPr>
        <w:t>| **T1** | **Disponibilidad Inmediata vs Seguridad Estricta:**&lt;br&gt;Las gerencias demandan instalar software comercial sin controles para agilizar trámites urgentes, arriesgando la seguridad informática. | **Integridad y Probidad (V1)** | *Ninguna aplicación, base de datos o dispositivo se conecta a la red municipal sin certificación previa de seguridad y política de privilegios mínimos de OGTIC, sin importar la jerarquía de quien lo solicite.* |</w:t>
      </w:r>
    </w:p>
    <w:p>
      <w:r>
        <w:rPr>
          <w:rFonts w:ascii="Consolas" w:hAnsi="Consolas"/>
          <w:sz w:val="16"/>
        </w:rPr>
        <w:t>| **T2** | **Desarrollo Propietario Aislado vs Arquitectura Interoperable:**&lt;br&gt;Gestión Tributaria desea contratar un sistema cerrado propio mientras Desarrollo Urbano licita otro sistema geográfico independiente. | **Transparencia y Responsabilidad por los Datos (V4)** | *Todo sistema de software nuevo o modernizado debe fundamentarse en estándares abiertos de interoperabilidad (PIDE / APIs REST) y base de datos relacional compartida; se prohíbe la adquisición de sistemas cerrados que impidan la integración.* |</w:t>
      </w:r>
    </w:p>
    <w:p>
      <w:r>
        <w:rPr>
          <w:rFonts w:ascii="Consolas" w:hAnsi="Consolas"/>
          <w:sz w:val="16"/>
        </w:rPr>
        <w:t>| **T3** | **Cultura de Sanción Punitiva vs Reporte Temprano de Fallas:**&lt;br&gt;Los operadores ocultan incidentes de ciberseguridad o caídas del sistema por temor a procesos administrativos de OCI. | **Innovación y Mejora Continua (V3)** | *Se implanta una política institucional de "Reporte Libre de Culpa" (Blameless Post-Mortem); todo incidente de TI reportado en menos de 60 minutos se trata como oportunidad de mejora técnica, blindando al operador de sanciones disciplinarias salvo dolo comprobado.* |</w:t>
      </w:r>
    </w:p>
    <w:p>
      <w:r>
        <w:rPr>
          <w:rFonts w:ascii="Consolas" w:hAnsi="Consolas"/>
          <w:sz w:val="16"/>
        </w:rPr>
        <w:t>| **T4** | **Reemplazo Masivo de Hardware vs Reingeniería de Procesos:**&lt;br&gt;Presión sindical y de gerencias por comprar cientos de computadoras nuevas (AEI.07.04) manteniendo los mismos flujos lentos en papel. | **Vocación de Servicio y Empatía Ciudadana (V2)** | *La renovación de equipamiento informático queda estrictamente condicionada a la previa digitalización, simplificación y adopción del flujo cero papel en la gerencia solicitante.*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2.3.3 Trazabilidad de los Valores Institucionales</w:t>
      </w:r>
    </w:p>
    <w:p>
      <w:pPr>
        <w:spacing w:after="80"/>
      </w:pPr>
      <w:r>
        <w:rPr>
          <w:rFonts w:ascii="Calibri" w:hAnsi="Calibri"/>
          <w:sz w:val="19"/>
        </w:rPr>
        <w:t>La formulación de esta escala de valores responde a una rigurosa trazabilidad entre las normas de origen, los valores declarados en el PEI y las evidencias empíricas levantadas en el diagnóstico cultural:</w:t>
      </w:r>
    </w:p>
    <w:p>
      <w:pPr>
        <w:spacing w:after="80"/>
      </w:pPr>
      <w:r>
        <w:rPr>
          <w:rFonts w:ascii="Calibri" w:hAnsi="Calibri"/>
          <w:sz w:val="19"/>
        </w:rPr>
        <w:t>```mermaid</w:t>
      </w:r>
    </w:p>
    <w:p>
      <w:pPr>
        <w:spacing w:after="80"/>
      </w:pPr>
      <w:r>
        <w:rPr>
          <w:rFonts w:ascii="Calibri" w:hAnsi="Calibri"/>
          <w:sz w:val="19"/>
        </w:rPr>
        <w:t>flowchart LR</w:t>
      </w:r>
    </w:p>
    <w:p>
      <w:pPr>
        <w:spacing w:after="80"/>
      </w:pPr>
      <w:r>
        <w:rPr>
          <w:rFonts w:ascii="Calibri" w:hAnsi="Calibri"/>
          <w:sz w:val="19"/>
        </w:rPr>
        <w:t>A["&lt;b&gt;Fuentes Normativas&lt;/b&gt;&lt;br/&gt;Ley 27815 (Código Ética)&lt;br/&gt;PEI 2025-2030 (OEI.05)&lt;br/&gt;RISST 2024"] --&gt; D["&lt;b&gt;Matriz de Valores PETI&lt;/b&gt;"]</w:t>
      </w:r>
    </w:p>
    <w:p>
      <w:pPr>
        <w:spacing w:after="80"/>
      </w:pPr>
      <w:r>
        <w:rPr>
          <w:rFonts w:ascii="Calibri" w:hAnsi="Calibri"/>
          <w:sz w:val="19"/>
        </w:rPr>
        <w:t>B["&lt;b&gt;Diagnóstico CVF (OCAI)&lt;/b&gt;&lt;br/&gt;Jerarquía actual: 44.1 pts&lt;br/&gt;Brecha Adhocracia: +21.5 pts"] --&gt; D</w:t>
      </w:r>
    </w:p>
    <w:p>
      <w:pPr>
        <w:spacing w:after="80"/>
      </w:pPr>
      <w:r>
        <w:rPr>
          <w:rFonts w:ascii="Calibri" w:hAnsi="Calibri"/>
          <w:sz w:val="19"/>
        </w:rPr>
        <w:t>C["&lt;b&gt;Supuestos Básicos&lt;/b&gt;&lt;br/&gt;Silos de datos&lt;br/&gt;Temor a OCI&lt;br/&gt;Firma en papel"] --&gt; D</w:t>
      </w:r>
    </w:p>
    <w:p>
      <w:pPr>
        <w:spacing w:after="80"/>
      </w:pPr>
      <w:r>
        <w:rPr>
          <w:rFonts w:ascii="Calibri" w:hAnsi="Calibri"/>
          <w:sz w:val="19"/>
        </w:rPr>
        <w:t>D --&gt; E["&lt;b&gt;V1&lt;/b&gt; Integridad y Probidad&lt;br/&gt;&lt;b&gt;V2&lt;/b&gt; Vocación de Servicio&lt;br/&gt;&lt;b&gt;V3&lt;/b&gt; Innovación Abierta&lt;br/&gt;&lt;b&gt;V4&lt;/b&gt; Transparencia de Datos&lt;br/&gt;&lt;b&gt;V5&lt;/b&gt; Colaboración"]</w:t>
      </w:r>
    </w:p>
    <w:p>
      <w:pPr>
        <w:spacing w:after="80"/>
      </w:pPr>
      <w:r>
        <w:rPr>
          <w:rFonts w:ascii="Calibri" w:hAnsi="Calibri"/>
          <w:sz w:val="19"/>
        </w:rPr>
        <w:t>classDef box fill:#EEF4FB,stroke:#1A365D,stroke-width:1.5px,color:#0F2942;</w:t>
      </w:r>
    </w:p>
    <w:p>
      <w:pPr>
        <w:spacing w:after="80"/>
      </w:pPr>
      <w:r>
        <w:rPr>
          <w:rFonts w:ascii="Calibri" w:hAnsi="Calibri"/>
          <w:sz w:val="19"/>
        </w:rPr>
        <w:t>class A,B,C,D,E box;</w:t>
      </w:r>
    </w:p>
    <w:p>
      <w:pPr>
        <w:spacing w:after="80"/>
      </w:pPr>
      <w:r>
        <w:rPr>
          <w:rFonts w:ascii="Calibri" w:hAnsi="Calibri"/>
          <w:sz w:val="19"/>
        </w:rPr>
        <w:t>```</w:t>
      </w:r>
    </w:p>
    <w:p>
      <w:pPr>
        <w:spacing w:after="80"/>
      </w:pPr>
      <w:r>
        <w:rPr>
          <w:rFonts w:ascii="Calibri" w:hAnsi="Calibri"/>
          <w:sz w:val="19"/>
        </w:rPr>
        <w:t>1. **Valores Conservados y Fortalecidos:**</w:t>
      </w:r>
    </w:p>
    <w:p>
      <w:pPr>
        <w:pStyle w:val="ListBullet"/>
      </w:pPr>
      <w:r>
        <w:rPr>
          <w:sz w:val="19"/>
        </w:rPr>
        <w:t>*Integridad y Probidad:* Proviene del Art. 6 de la Ley N° 27815. Se conserva integralmente pero se operacionaliza en el entorno digital mediante la obligatoriedad del no repudio y trazabilidad en logs.</w:t>
      </w:r>
    </w:p>
    <w:p>
      <w:pPr>
        <w:spacing w:after="80"/>
      </w:pPr>
      <w:r>
        <w:rPr>
          <w:rFonts w:ascii="Calibri" w:hAnsi="Calibri"/>
          <w:sz w:val="19"/>
        </w:rPr>
        <w:t>2. **Valores Reformulados:**</w:t>
      </w:r>
    </w:p>
    <w:p>
      <w:pPr>
        <w:pStyle w:val="ListBullet"/>
      </w:pPr>
      <w:r>
        <w:rPr>
          <w:sz w:val="19"/>
        </w:rPr>
        <w:t>*Vocación de Servicio:* Proveniente de la Misión del PEI 2025-2030. Se reformula desde una declaración genérica hacia la eliminación de barreras burocráticas y respeto al tiempo del ciudadano mediante canales virtuales.</w:t>
      </w:r>
    </w:p>
    <w:p>
      <w:pPr>
        <w:pStyle w:val="ListBullet"/>
      </w:pPr>
      <w:r>
        <w:rPr>
          <w:sz w:val="19"/>
        </w:rPr>
        <w:t>*Transparencia Activa:* Proveniente del deber de Transparencia de la Ley 27815. Se reconvierte en "Responsabilidad por los Datos" para desarticular el supuesto arraigado de "los datos son propiedad de mi gerencia".</w:t>
      </w:r>
    </w:p>
    <w:p>
      <w:pPr>
        <w:spacing w:after="80"/>
      </w:pPr>
      <w:r>
        <w:rPr>
          <w:rFonts w:ascii="Calibri" w:hAnsi="Calibri"/>
          <w:sz w:val="19"/>
        </w:rPr>
        <w:t>3. **Valores Nuevos Incorporados por el Diagnóstico:**</w:t>
      </w:r>
    </w:p>
    <w:p>
      <w:pPr>
        <w:pStyle w:val="ListBullet"/>
      </w:pPr>
      <w:r>
        <w:rPr>
          <w:sz w:val="19"/>
        </w:rPr>
        <w:t>*Innovación Abierta y Mejora Continua:* Surge directamente de la brecha de +21.52 puntos en Adhocracia y la necesidad de erradicar el supuesto "si funciona hoy, no se toca para evitar a la Contraloría".</w:t>
      </w:r>
    </w:p>
    <w:p>
      <w:pPr>
        <w:pStyle w:val="ListBullet"/>
      </w:pPr>
      <w:r>
        <w:rPr>
          <w:sz w:val="19"/>
        </w:rPr>
        <w:t>*Colaboración Interdisciplinaria:* Nace para cerrar la divergencia cultural detectada entre áreas administrativas (Jerarquía) y operativas (Mercado), promoviendo equipos ágiles multidisciplinarios.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1"/>
      </w:pPr>
      <w:r>
        <w:rPr>
          <w:color w:val="16285C"/>
        </w:rPr>
        <w:t>Sección 2.4 · Diagnóstico de Cultura Organizacional</w:t>
      </w:r>
    </w:p>
    <w:p>
      <w:pPr>
        <w:pStyle w:val="Heading2"/>
      </w:pPr>
      <w:r>
        <w:rPr>
          <w:color w:val="1E293B"/>
        </w:rPr>
        <w:t>Municipalidad Provincial de Tacna (MPT)</w:t>
      </w:r>
    </w:p>
    <w:p>
      <w:pPr>
        <w:spacing w:after="80"/>
      </w:pPr>
      <w:r>
        <w:rPr>
          <w:rFonts w:ascii="Calibri" w:hAnsi="Calibri"/>
          <w:sz w:val="19"/>
        </w:rPr>
        <w:t>**Documento:** `2.4_cultura.md`</w:t>
      </w:r>
    </w:p>
    <w:p>
      <w:pPr>
        <w:spacing w:after="80"/>
      </w:pPr>
      <w:r>
        <w:rPr>
          <w:rFonts w:ascii="Calibri" w:hAnsi="Calibri"/>
          <w:sz w:val="19"/>
        </w:rPr>
        <w:t>**Metodología:** Competing Values Framework (CVF) / Organizational Culture Assessment Instrument (OCAI) — Cameron &amp; Quinn.</w:t>
      </w:r>
    </w:p>
    <w:p>
      <w:pPr>
        <w:spacing w:after="80"/>
      </w:pPr>
      <w:r>
        <w:rPr>
          <w:rFonts w:ascii="Calibri" w:hAnsi="Calibri"/>
          <w:sz w:val="19"/>
        </w:rPr>
        <w:t>**Vinculación Estratégica:** Plan Estratégico Institucional (PEI 2025-2030) · OEI.07 Fortalecer el Gobierno Digital.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2"/>
      </w:pPr>
      <w:r>
        <w:rPr>
          <w:color w:val="1E293B"/>
        </w:rPr>
        <w:t>2.4 Diagnóstico de Cultura Organizacional</w:t>
      </w:r>
    </w:p>
    <w:p>
      <w:pPr>
        <w:pStyle w:val="Heading3"/>
      </w:pPr>
      <w:r>
        <w:rPr>
          <w:color w:val="475569"/>
        </w:rPr>
        <w:t>2.4.1 Metodología</w:t>
      </w:r>
    </w:p>
    <w:p>
      <w:pPr>
        <w:spacing w:after="80"/>
      </w:pPr>
      <w:r>
        <w:rPr>
          <w:rFonts w:ascii="Calibri" w:hAnsi="Calibri"/>
          <w:sz w:val="19"/>
        </w:rPr>
        <w:t>El diagnóstico cultural de la Municipalidad Provincial de Tacna se llevó a cabo aplicando el **Organizational Culture Assessment Instrument (OCAI)** fundamentado en el marco de valores en competencia de Cameron y Quinn (2011).</w:t>
      </w:r>
    </w:p>
    <w:p>
      <w:pPr>
        <w:spacing w:after="80"/>
      </w:pPr>
      <w:r>
        <w:rPr>
          <w:rFonts w:ascii="Calibri" w:hAnsi="Calibri"/>
          <w:sz w:val="19"/>
        </w:rPr>
        <w:t>#### A. Instrumento y Regla de Suma Forzada</w:t>
      </w:r>
    </w:p>
    <w:p>
      <w:pPr>
        <w:spacing w:after="80"/>
      </w:pPr>
      <w:r>
        <w:rPr>
          <w:rFonts w:ascii="Calibri" w:hAnsi="Calibri"/>
          <w:sz w:val="19"/>
        </w:rPr>
        <w:t>El cuestionario evalúa **seis dimensiones nucleares**:</w:t>
      </w:r>
    </w:p>
    <w:p>
      <w:pPr>
        <w:spacing w:after="80"/>
      </w:pPr>
      <w:r>
        <w:rPr>
          <w:rFonts w:ascii="Calibri" w:hAnsi="Calibri"/>
          <w:sz w:val="19"/>
        </w:rPr>
        <w:t>1. Características dominantes de la organización</w:t>
      </w:r>
    </w:p>
    <w:p>
      <w:pPr>
        <w:spacing w:after="80"/>
      </w:pPr>
      <w:r>
        <w:rPr>
          <w:rFonts w:ascii="Calibri" w:hAnsi="Calibri"/>
          <w:sz w:val="19"/>
        </w:rPr>
        <w:t>2. Estilo de liderazgo directivo</w:t>
      </w:r>
    </w:p>
    <w:p>
      <w:pPr>
        <w:spacing w:after="80"/>
      </w:pPr>
      <w:r>
        <w:rPr>
          <w:rFonts w:ascii="Calibri" w:hAnsi="Calibri"/>
          <w:sz w:val="19"/>
        </w:rPr>
        <w:t>3. Gestión del personal y ambiente de trabajo</w:t>
      </w:r>
    </w:p>
    <w:p>
      <w:pPr>
        <w:spacing w:after="80"/>
      </w:pPr>
      <w:r>
        <w:rPr>
          <w:rFonts w:ascii="Calibri" w:hAnsi="Calibri"/>
          <w:sz w:val="19"/>
        </w:rPr>
        <w:t>4. Cohesión institucional (lo que mantiene unida a la institución)</w:t>
      </w:r>
    </w:p>
    <w:p>
      <w:pPr>
        <w:spacing w:after="80"/>
      </w:pPr>
      <w:r>
        <w:rPr>
          <w:rFonts w:ascii="Calibri" w:hAnsi="Calibri"/>
          <w:sz w:val="19"/>
        </w:rPr>
        <w:t>5. Énfasis estratégico corporativo</w:t>
      </w:r>
    </w:p>
    <w:p>
      <w:pPr>
        <w:spacing w:after="80"/>
      </w:pPr>
      <w:r>
        <w:rPr>
          <w:rFonts w:ascii="Calibri" w:hAnsi="Calibri"/>
          <w:sz w:val="19"/>
        </w:rPr>
        <w:t>6. Criterios de éxito institucional</w:t>
      </w:r>
    </w:p>
    <w:p>
      <w:pPr>
        <w:spacing w:after="80"/>
      </w:pPr>
      <w:r>
        <w:rPr>
          <w:rFonts w:ascii="Calibri" w:hAnsi="Calibri"/>
          <w:sz w:val="19"/>
        </w:rPr>
        <w:t>En cada dimensión, el respondiente distribuye obligatoriamente **100 puntos** entre cuatro alternativas que tipifican los cuadrantes culturales:</w:t>
      </w:r>
    </w:p>
    <w:p>
      <w:pPr>
        <w:pStyle w:val="ListBullet"/>
      </w:pPr>
      <w:r>
        <w:rPr>
          <w:sz w:val="19"/>
        </w:rPr>
        <w:t>**A — Clan:** Enfoque interno, flexibilidad, trabajo en equipo, mentoría y desarrollo del talento.</w:t>
      </w:r>
    </w:p>
    <w:p>
      <w:pPr>
        <w:pStyle w:val="ListBullet"/>
      </w:pPr>
      <w:r>
        <w:rPr>
          <w:sz w:val="19"/>
        </w:rPr>
        <w:t>**B — Adhocracia:** Enfoque externo, flexibilidad, innovación, emprendimiento y adaptabilidad.</w:t>
      </w:r>
    </w:p>
    <w:p>
      <w:pPr>
        <w:pStyle w:val="ListBullet"/>
      </w:pPr>
      <w:r>
        <w:rPr>
          <w:sz w:val="19"/>
        </w:rPr>
        <w:t>**C — Mercado:** Enfoque externo, estabilidad y control, orientación a resultados y competitividad.</w:t>
      </w:r>
    </w:p>
    <w:p>
      <w:pPr>
        <w:pStyle w:val="ListBullet"/>
      </w:pPr>
      <w:r>
        <w:rPr>
          <w:sz w:val="19"/>
        </w:rPr>
        <w:t>**D — Jerarquía:** Enfoque interno, estabilidad y control, formalización procedimental y cumplimiento de normas.</w:t>
      </w:r>
    </w:p>
    <w:p>
      <w:pPr>
        <w:spacing w:after="80"/>
      </w:pPr>
      <w:r>
        <w:rPr>
          <w:rFonts w:ascii="Calibri" w:hAnsi="Calibri"/>
          <w:sz w:val="19"/>
        </w:rPr>
        <w:t>La distribución se evalúa de manera bicrónica: **Estado ACTUAL** (cómo percibe el servidor a la municipalidad hoy) y **Estado DESEADO a 5 años** (cómo debería ser al 2030 para cumplir los objetivos de modernización del PEI).</w:t>
      </w:r>
    </w:p>
    <w:p>
      <w:pPr>
        <w:spacing w:after="80"/>
      </w:pPr>
      <w:r>
        <w:rPr>
          <w:rFonts w:ascii="Calibri" w:hAnsi="Calibri"/>
          <w:sz w:val="19"/>
        </w:rPr>
        <w:t>#### B. Población, Muestra y Control de Calidad</w:t>
      </w:r>
    </w:p>
    <w:p>
      <w:pPr>
        <w:pStyle w:val="ListBullet"/>
      </w:pPr>
      <w:r>
        <w:rPr>
          <w:sz w:val="19"/>
        </w:rPr>
        <w:t>**Población objetivo:** Servidores de los diversos regímenes laborales (D.L. 276 Nombrados, D.L. 728, Contratados CAS y locadores de servicios) adscritos a órganos de alta dirección, asesoramiento, apoyo y de línea de la sede central de la MPT.</w:t>
      </w:r>
    </w:p>
    <w:p>
      <w:pPr>
        <w:pStyle w:val="ListBullet"/>
      </w:pPr>
      <w:r>
        <w:rPr>
          <w:sz w:val="19"/>
        </w:rPr>
        <w:t>**Muestra recolectada:** $N = 35$ instrumentos completados.</w:t>
      </w:r>
    </w:p>
    <w:p>
      <w:pPr>
        <w:pStyle w:val="ListBullet"/>
      </w:pPr>
      <w:r>
        <w:rPr>
          <w:sz w:val="19"/>
        </w:rPr>
        <w:t>**Control de calidad automatizado:** El script estadístico (`CU02_perfil_cultura.py`) verificó la restricción matemática estricta $\sum(A+B+C+D) = 100$ en cada dimensión y momento.</w:t>
      </w:r>
    </w:p>
    <w:p>
      <w:pPr>
        <w:pStyle w:val="ListBullet"/>
      </w:pPr>
      <w:r>
        <w:rPr>
          <w:sz w:val="19"/>
        </w:rPr>
        <w:t>**Respuestas conformes admitidas:** 32 instrumentos (91.43% de efectividad).</w:t>
      </w:r>
    </w:p>
    <w:p>
      <w:pPr>
        <w:pStyle w:val="ListBullet"/>
      </w:pPr>
      <w:r>
        <w:rPr>
          <w:sz w:val="19"/>
        </w:rPr>
        <w:t>**Respuestas inconsistentes rechazadas:** 3 instrumentos (R015 de OGAF con 110 pts en Dim 2; R024 de OGACGD con 90 pts en Dim 5; R031 de GTPSC con 105 pts en Dim 1).</w:t>
      </w:r>
    </w:p>
    <w:p>
      <w:pPr>
        <w:pStyle w:val="ListBullet"/>
      </w:pPr>
      <w:r>
        <w:rPr>
          <w:sz w:val="19"/>
        </w:rPr>
        <w:t>**Representatividad multi-área:** La muestra incluye 5 gerencias y oficinas con $n \ge 5$ respondientes válidos, garantizando una perspectiva transversal de la corporación edil y no sesgada únicamente al personal informático.</w:t>
      </w:r>
    </w:p>
    <w:p>
      <w:pPr>
        <w:spacing w:after="80"/>
      </w:pPr>
      <w:r>
        <w:rPr>
          <w:rFonts w:ascii="Calibri" w:hAnsi="Calibri"/>
          <w:sz w:val="19"/>
        </w:rPr>
        <w:t>#### C. Limitaciones del Diagnóstico</w:t>
      </w:r>
    </w:p>
    <w:p>
      <w:pPr>
        <w:spacing w:after="80"/>
      </w:pPr>
      <w:r>
        <w:rPr>
          <w:rFonts w:ascii="Calibri" w:hAnsi="Calibri"/>
          <w:sz w:val="19"/>
        </w:rPr>
        <w:t>1. *Muestreo no probabilístico por conveniencia:* Si bien cubre las áreas críticas para el PETI, áreas operativas descentralizadas (como maestranza o áreas verdes) tuvieron menor acceso a la encuesta.</w:t>
      </w:r>
    </w:p>
    <w:p>
      <w:pPr>
        <w:spacing w:after="80"/>
      </w:pPr>
      <w:r>
        <w:rPr>
          <w:rFonts w:ascii="Calibri" w:hAnsi="Calibri"/>
          <w:sz w:val="19"/>
        </w:rPr>
        <w:t>2. *Sesgo de deseabilidad social:* Servidores bajo régimen transitorio (CAS) podrían moderar sus respuestas críticas por temor a represalias, a pesar de haberse garantizado el anonimato bajo la Ley N° 29733.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2.4.2 Perfil de Cultura Actual y Deseada</w:t>
      </w:r>
    </w:p>
    <w:p>
      <w:pPr>
        <w:spacing w:after="80"/>
      </w:pPr>
      <w:r>
        <w:rPr>
          <w:rFonts w:ascii="Calibri" w:hAnsi="Calibri"/>
          <w:sz w:val="19"/>
        </w:rPr>
        <w:t>El procesamiento estadístico sobre los 32 instrumentos válidos arrojó los siguientes puntajes consolidados por dimensión y globales:</w:t>
      </w:r>
    </w:p>
    <w:p>
      <w:pPr>
        <w:spacing w:after="80"/>
      </w:pPr>
      <w:r>
        <w:rPr>
          <w:rFonts w:ascii="Calibri" w:hAnsi="Calibri"/>
          <w:sz w:val="19"/>
        </w:rPr>
        <w:t>#### Tabla 2.4.1 · Consolidado de Puntajes CVF y Brechas Netas (MPT)</w:t>
      </w:r>
    </w:p>
    <w:p>
      <w:r>
        <w:rPr>
          <w:rFonts w:ascii="Consolas" w:hAnsi="Consolas"/>
          <w:sz w:val="16"/>
        </w:rPr>
        <w:t>| Dimensión Evaluada | Clan (A) Act | Clan (A) Des | Brecha Clan | Adhoc (B) Act | Adhoc (B) Des | Brecha Adhoc | Merc (C) Act | Merc (C) Des | Brecha Merc | Jerarq (D) Act | Jerarq (D) Des | Brecha Jerarq |</w:t>
      </w:r>
    </w:p>
    <w:p>
      <w:r>
        <w:rPr>
          <w:rFonts w:ascii="Consolas" w:hAnsi="Consolas"/>
          <w:sz w:val="16"/>
        </w:rPr>
        <w:t>|---|:---:|:---:|:---:|:---:|:---:|:---:|:---:|:---:|:---:|:---:|:---:|:---:|</w:t>
      </w:r>
    </w:p>
    <w:p>
      <w:r>
        <w:rPr>
          <w:rFonts w:ascii="Consolas" w:hAnsi="Consolas"/>
          <w:sz w:val="16"/>
        </w:rPr>
        <w:t>| 1. Características dominantes | 18.00 | 29.12 | +11.12 | 12.28 | 34.31 | +22.03 | 26.25 | 18.06 | -8.19 | **43.47** | 18.50 | -24.97 |</w:t>
      </w:r>
    </w:p>
    <w:p>
      <w:r>
        <w:rPr>
          <w:rFonts w:ascii="Consolas" w:hAnsi="Consolas"/>
          <w:sz w:val="16"/>
        </w:rPr>
        <w:t>| 2. Liderazgo institucional | 17.47 | 28.72 | +11.25 | 12.31 | 33.47 | +21.16 | 26.22 | 17.59 | -8.62 | **44.00** | 20.22 | -23.78 |</w:t>
      </w:r>
    </w:p>
    <w:p>
      <w:r>
        <w:rPr>
          <w:rFonts w:ascii="Consolas" w:hAnsi="Consolas"/>
          <w:sz w:val="16"/>
        </w:rPr>
        <w:t>| 3. Gestión del personal | 16.91 | 28.69 | +11.78 | 12.53 | 34.25 | +21.72 | 25.88 | 18.41 | -7.47 | **44.69** | 18.66 | -26.03 |</w:t>
      </w:r>
    </w:p>
    <w:p>
      <w:r>
        <w:rPr>
          <w:rFonts w:ascii="Consolas" w:hAnsi="Consolas"/>
          <w:sz w:val="16"/>
        </w:rPr>
        <w:t>| 4. Cohesión institucional | 17.38 | 29.16 | +11.78 | 12.88 | 34.47 | +21.59 | 25.22 | 18.16 | -7.06 | **44.53** | 18.22 | -26.31 |</w:t>
      </w:r>
    </w:p>
    <w:p>
      <w:r>
        <w:rPr>
          <w:rFonts w:ascii="Consolas" w:hAnsi="Consolas"/>
          <w:sz w:val="16"/>
        </w:rPr>
        <w:t>| 5. Énfasis estratégico | 18.03 | 27.75 | +9.72 | 12.75 | 34.38 | +21.62 | 25.84 | 18.03 | -7.81 | **43.38** | 19.84 | -23.53 |</w:t>
      </w:r>
    </w:p>
    <w:p>
      <w:r>
        <w:rPr>
          <w:rFonts w:ascii="Consolas" w:hAnsi="Consolas"/>
          <w:sz w:val="16"/>
        </w:rPr>
        <w:t>| 6. Criterio de éxito | 17.56 | 28.75 | +11.19 | 13.00 | 33.97 | +20.97 | 24.91 | 18.47 | -6.44 | **44.53** | 18.81 | -25.72 |</w:t>
      </w:r>
    </w:p>
    <w:p>
      <w:r>
        <w:rPr>
          <w:rFonts w:ascii="Consolas" w:hAnsi="Consolas"/>
          <w:sz w:val="16"/>
        </w:rPr>
        <w:t>| **PROMEDIO GLOBAL MPT** | **17.56** | **28.70** | **+11.14** | **12.62** | **34.14** | **+21.52** | **25.72** | **18.12** | **-7.60** | **44.10** | **19.04** | **-25.06** |</w:t>
      </w:r>
    </w:p>
    <w:p>
      <w:pPr>
        <w:spacing w:after="80"/>
      </w:pPr>
      <w:r>
        <w:rPr>
          <w:rFonts w:ascii="Calibri" w:hAnsi="Calibri"/>
          <w:sz w:val="19"/>
        </w:rPr>
        <w:t>#### Diagnóstico del Radar Cultural</w:t>
      </w:r>
    </w:p>
    <w:p>
      <w:pPr>
        <w:spacing w:after="80"/>
      </w:pPr>
      <w:r>
        <w:rPr>
          <w:rFonts w:ascii="Calibri" w:hAnsi="Calibri"/>
          <w:sz w:val="19"/>
        </w:rPr>
        <w:t>![Radar de Cultura MPT](file:///c:/Users/PC/Desktop/PETI/05/02_identidad/CU_perfil_cultura.png)</w:t>
      </w:r>
    </w:p>
    <w:p>
      <w:pPr>
        <w:pStyle w:val="ListBullet"/>
      </w:pPr>
      <w:r>
        <w:rPr>
          <w:sz w:val="19"/>
        </w:rPr>
        <w:t>**Cultura Dominante ACTUAL: JERARQUÍA (44.10 puntos).** La Municipalidad Provincial de Tacna opera bajo un esquema clásico burocrático-legalista donde el procedimiento, la directiva formal y el blindaje ante el Órgano de Control Institucional (OCI) gobiernan la toma de decisiones cotidianas.</w:t>
      </w:r>
    </w:p>
    <w:p>
      <w:pPr>
        <w:pStyle w:val="ListBullet"/>
      </w:pPr>
      <w:r>
        <w:rPr>
          <w:sz w:val="19"/>
        </w:rPr>
        <w:t>**Cultura Dominante DESEADA (2030): ADHOCRACIA (34.14 puntos).** Los servidores demandan una transición drástica hacia un modelo dinámico, innovador y ágil, secundado por un fuerte incremento en la cultura **Clan (28.70 puntos)**.</w:t>
      </w:r>
    </w:p>
    <w:p>
      <w:pPr>
        <w:pStyle w:val="ListBullet"/>
      </w:pPr>
      <w:r>
        <w:rPr>
          <w:sz w:val="19"/>
        </w:rPr>
        <w:t>**Dimensión de Mayor Brecha Positiva: ADHOCRACIA (+21.52 puntos).** Evidencia un apetito reprimido de modernización tecnológica y frustración con la lentitud del trámite manual.</w:t>
      </w:r>
    </w:p>
    <w:p>
      <w:pPr>
        <w:pStyle w:val="ListBullet"/>
      </w:pPr>
      <w:r>
        <w:rPr>
          <w:sz w:val="19"/>
        </w:rPr>
        <w:t>**Dimensión de Mayor Brecha Negativa: JERARQUÍA (-25.06 puntos).** Los servidores perciben la sobredimensión de controles como un factor paralizante que frena la atención de calidad al ciudadano tacneño.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2.4.3 Congruencia Cultural</w:t>
      </w:r>
    </w:p>
    <w:p>
      <w:pPr>
        <w:spacing w:after="80"/>
      </w:pPr>
      <w:r>
        <w:rPr>
          <w:rFonts w:ascii="Calibri" w:hAnsi="Calibri"/>
          <w:sz w:val="19"/>
        </w:rPr>
        <w:t>#### A. Congruencia entre Dimensiones (Veredicto: ALTA CONGRUENCIA)</w:t>
      </w:r>
    </w:p>
    <w:p>
      <w:pPr>
        <w:spacing w:after="80"/>
      </w:pPr>
      <w:r>
        <w:rPr>
          <w:rFonts w:ascii="Calibri" w:hAnsi="Calibri"/>
          <w:sz w:val="19"/>
        </w:rPr>
        <w:t>El análisis dimensional demuestra una **alineación estructural homogénea**: en las 6 dimensiones evaluadas, la cultura Jerarquía ocupa sin excepción el primer lugar con puntajes casi idénticos (entre 43.38 y 44.69 puntos), y la cultura Adhocracia ocupa invariablemente el último lugar (entre 12.28 y 13.00 puntos). No existen contradicciones aisladas entre liderazgo y criterios de éxito; la formalidad burocrática impregna transversalmente todas las facetas institucionales.</w:t>
      </w:r>
    </w:p>
    <w:p>
      <w:pPr>
        <w:spacing w:after="80"/>
      </w:pPr>
      <w:r>
        <w:rPr>
          <w:rFonts w:ascii="Calibri" w:hAnsi="Calibri"/>
          <w:sz w:val="19"/>
        </w:rPr>
        <w:t>#### B. Congruencia Interdepartamental y Divergencias Internas</w:t>
      </w:r>
    </w:p>
    <w:p>
      <w:pPr>
        <w:spacing w:after="80"/>
      </w:pPr>
      <w:r>
        <w:rPr>
          <w:rFonts w:ascii="Calibri" w:hAnsi="Calibri"/>
          <w:sz w:val="19"/>
        </w:rPr>
        <w:t>Al desagregar los perfiles por áreas con representatividad ($n \ge 5$), se evidencian marcadas divergencias que condicionan la estrategia del PETI:</w:t>
      </w:r>
    </w:p>
    <w:p>
      <w:pPr>
        <w:spacing w:after="80"/>
      </w:pPr>
      <w:r>
        <w:rPr>
          <w:rFonts w:ascii="Calibri" w:hAnsi="Calibri"/>
          <w:sz w:val="19"/>
        </w:rPr>
        <w:t>```mermaid</w:t>
      </w:r>
    </w:p>
    <w:p>
      <w:pPr>
        <w:spacing w:after="80"/>
      </w:pPr>
      <w:r>
        <w:rPr>
          <w:rFonts w:ascii="Calibri" w:hAnsi="Calibri"/>
          <w:sz w:val="19"/>
        </w:rPr>
        <w:t>quadrantChart</w:t>
      </w:r>
    </w:p>
    <w:p>
      <w:pPr>
        <w:spacing w:after="80"/>
      </w:pPr>
      <w:r>
        <w:rPr>
          <w:rFonts w:ascii="Calibri" w:hAnsi="Calibri"/>
          <w:sz w:val="19"/>
        </w:rPr>
        <w:t>title Perfil Cultural Actual por Áreas Funcionales (MPT)</w:t>
      </w:r>
    </w:p>
    <w:p>
      <w:pPr>
        <w:spacing w:after="80"/>
      </w:pPr>
      <w:r>
        <w:rPr>
          <w:rFonts w:ascii="Calibri" w:hAnsi="Calibri"/>
          <w:sz w:val="19"/>
        </w:rPr>
        <w:t>x-axis Enfoque Interno --&gt; Enfoque Externo</w:t>
      </w:r>
    </w:p>
    <w:p>
      <w:pPr>
        <w:spacing w:after="80"/>
      </w:pPr>
      <w:r>
        <w:rPr>
          <w:rFonts w:ascii="Calibri" w:hAnsi="Calibri"/>
          <w:sz w:val="19"/>
        </w:rPr>
        <w:t>y-axis Estabilidad / Control --&gt; Flexibilidad / Agilidad</w:t>
      </w:r>
    </w:p>
    <w:p>
      <w:pPr>
        <w:spacing w:after="80"/>
      </w:pPr>
      <w:r>
        <w:rPr>
          <w:rFonts w:ascii="Calibri" w:hAnsi="Calibri"/>
          <w:sz w:val="19"/>
        </w:rPr>
        <w:t>quadrant-1 Adhocracia (Innovación)</w:t>
      </w:r>
    </w:p>
    <w:p>
      <w:pPr>
        <w:spacing w:after="80"/>
      </w:pPr>
      <w:r>
        <w:rPr>
          <w:rFonts w:ascii="Calibri" w:hAnsi="Calibri"/>
          <w:sz w:val="19"/>
        </w:rPr>
        <w:t>quadrant-2 Clan (Colaboración)</w:t>
      </w:r>
    </w:p>
    <w:p>
      <w:pPr>
        <w:spacing w:after="80"/>
      </w:pPr>
      <w:r>
        <w:rPr>
          <w:rFonts w:ascii="Calibri" w:hAnsi="Calibri"/>
          <w:sz w:val="19"/>
        </w:rPr>
        <w:t>quadrant-3 Jerarquía (Control Normativo)</w:t>
      </w:r>
    </w:p>
    <w:p>
      <w:pPr>
        <w:spacing w:after="80"/>
      </w:pPr>
      <w:r>
        <w:rPr>
          <w:rFonts w:ascii="Calibri" w:hAnsi="Calibri"/>
          <w:sz w:val="19"/>
        </w:rPr>
        <w:t>quadrant-4 Mercado (Competitividad / Resultados)</w:t>
      </w:r>
    </w:p>
    <w:p>
      <w:pPr>
        <w:spacing w:after="80"/>
      </w:pPr>
      <w:r>
        <w:rPr>
          <w:rFonts w:ascii="Calibri" w:hAnsi="Calibri"/>
          <w:sz w:val="19"/>
        </w:rPr>
        <w:t>"OGTIC (TI)": [0.25, 0.35]</w:t>
      </w:r>
    </w:p>
    <w:p>
      <w:pPr>
        <w:spacing w:after="80"/>
      </w:pPr>
      <w:r>
        <w:rPr>
          <w:rFonts w:ascii="Calibri" w:hAnsi="Calibri"/>
          <w:sz w:val="19"/>
        </w:rPr>
        <w:t>"OGAF (Administración)": [0.22, 0.20]</w:t>
      </w:r>
    </w:p>
    <w:p>
      <w:pPr>
        <w:spacing w:after="80"/>
      </w:pPr>
      <w:r>
        <w:rPr>
          <w:rFonts w:ascii="Calibri" w:hAnsi="Calibri"/>
          <w:sz w:val="19"/>
        </w:rPr>
        <w:t>"GGT (Tributaria)": [0.72, 0.22]</w:t>
      </w:r>
    </w:p>
    <w:p>
      <w:pPr>
        <w:spacing w:after="80"/>
      </w:pPr>
      <w:r>
        <w:rPr>
          <w:rFonts w:ascii="Calibri" w:hAnsi="Calibri"/>
          <w:sz w:val="19"/>
        </w:rPr>
        <w:t>"GTPSC (Seguridad)": [0.65, 0.28]</w:t>
      </w:r>
    </w:p>
    <w:p>
      <w:pPr>
        <w:spacing w:after="80"/>
      </w:pPr>
      <w:r>
        <w:rPr>
          <w:rFonts w:ascii="Calibri" w:hAnsi="Calibri"/>
          <w:sz w:val="19"/>
        </w:rPr>
        <w:t>"OGACGD (Atención Vecino)": [0.38, 0.30]</w:t>
      </w:r>
    </w:p>
    <w:p>
      <w:pPr>
        <w:spacing w:after="80"/>
      </w:pPr>
      <w:r>
        <w:rPr>
          <w:rFonts w:ascii="Calibri" w:hAnsi="Calibri"/>
          <w:sz w:val="19"/>
        </w:rPr>
        <w:t>```</w:t>
      </w:r>
    </w:p>
    <w:p>
      <w:pPr>
        <w:spacing w:after="80"/>
      </w:pPr>
      <w:r>
        <w:rPr>
          <w:rFonts w:ascii="Calibri" w:hAnsi="Calibri"/>
          <w:sz w:val="19"/>
        </w:rPr>
        <w:t>1. **Oficina General de Tecnologías de la Información y Comunicación (OGTIC - n=6):**</w:t>
      </w:r>
    </w:p>
    <w:p>
      <w:pPr>
        <w:pStyle w:val="ListBullet"/>
      </w:pPr>
      <w:r>
        <w:rPr>
          <w:sz w:val="19"/>
        </w:rPr>
        <w:t>*Actual:* Jerarquía (49.5 pts), Adhocracia (18.4 pts), Clan (17.6 pts), Mercado (14.5 pts).</w:t>
      </w:r>
    </w:p>
    <w:p>
      <w:pPr>
        <w:pStyle w:val="ListBullet"/>
      </w:pPr>
      <w:r>
        <w:rPr>
          <w:sz w:val="19"/>
        </w:rPr>
        <w:t>*Deseado:* Adhocracia (47.9 pts), Clan (27.2 pts), Jerarquía (14.7 pts), Mercado (10.2 pts).</w:t>
      </w:r>
    </w:p>
    <w:p>
      <w:pPr>
        <w:pStyle w:val="ListBullet"/>
      </w:pPr>
      <w:r>
        <w:rPr>
          <w:sz w:val="19"/>
        </w:rPr>
        <w:t>*Brecha:* **+29.6 en Adhocracia** y **-34.9 en Jerarquía**. Es el área que experimenta con mayor intensidad la asfixia del trámite en papel y busca una transformación digital radical.</w:t>
      </w:r>
    </w:p>
    <w:p>
      <w:pPr>
        <w:spacing w:after="80"/>
      </w:pPr>
      <w:r>
        <w:rPr>
          <w:rFonts w:ascii="Calibri" w:hAnsi="Calibri"/>
          <w:sz w:val="19"/>
        </w:rPr>
        <w:t>2. **Gerencia de Gestión Tributaria (GGT - n=7):**</w:t>
      </w:r>
    </w:p>
    <w:p>
      <w:pPr>
        <w:pStyle w:val="ListBullet"/>
      </w:pPr>
      <w:r>
        <w:rPr>
          <w:sz w:val="19"/>
        </w:rPr>
        <w:t>*Actual:* Jerarquía (39.5 pts), **Mercado (34.9 pts)**, Clan (15.2 pts), Adhocracia (10.4 pts).</w:t>
      </w:r>
    </w:p>
    <w:p>
      <w:pPr>
        <w:pStyle w:val="ListBullet"/>
      </w:pPr>
      <w:r>
        <w:rPr>
          <w:sz w:val="19"/>
        </w:rPr>
        <w:t>*Deseado:* Adhocracia (27.7 pts), Mercado (26.1 pts), Clan (26.1 pts), Jerarquía (20.1 pts).</w:t>
      </w:r>
    </w:p>
    <w:p>
      <w:pPr>
        <w:pStyle w:val="ListBullet"/>
      </w:pPr>
      <w:r>
        <w:rPr>
          <w:sz w:val="19"/>
        </w:rPr>
        <w:t>*Análisis:* Presenta el puntaje más alto de Mercado de la MPT, guiada por metas coactivas de recaudación y metas del MEF. Requiere que los proyectos de TI se justifiquen en ingresos y no solo en "innovación".</w:t>
      </w:r>
    </w:p>
    <w:p>
      <w:pPr>
        <w:spacing w:after="80"/>
      </w:pPr>
      <w:r>
        <w:rPr>
          <w:rFonts w:ascii="Calibri" w:hAnsi="Calibri"/>
          <w:sz w:val="19"/>
        </w:rPr>
        <w:t>3. **Oficina General de Administración y Finanzas (OGAF - n=6):**</w:t>
      </w:r>
    </w:p>
    <w:p>
      <w:pPr>
        <w:pStyle w:val="ListBullet"/>
      </w:pPr>
      <w:r>
        <w:rPr>
          <w:sz w:val="19"/>
        </w:rPr>
        <w:t>*Actual:* Jerarquía (48.5 pts), Mercado (22.9 pts), Clan (18.4 pts), Adhocracia (10.2 pts).</w:t>
      </w:r>
    </w:p>
    <w:p>
      <w:pPr>
        <w:pStyle w:val="ListBullet"/>
      </w:pPr>
      <w:r>
        <w:rPr>
          <w:sz w:val="19"/>
        </w:rPr>
        <w:t>*Deseado:* Clan (30.1 pts), Adhocracia (27.5 pts), Jerarquía (24.2 pts), Mercado (18.2 pts).</w:t>
      </w:r>
    </w:p>
    <w:p>
      <w:pPr>
        <w:pStyle w:val="ListBullet"/>
      </w:pPr>
      <w:r>
        <w:rPr>
          <w:sz w:val="19"/>
        </w:rPr>
        <w:t>*Análisis:* Es el bastión del control normativo (Abastecimiento, Contabilidad y Tesorería). Aunque desean simplificar, conservan el puntaje de Jerarquía deseada más alto de la municipalidad (24.2 pts), pues asumen la responsabilidad directa ante OCI y Contraloría.</w:t>
      </w:r>
    </w:p>
    <w:p>
      <w:pPr>
        <w:spacing w:after="80"/>
      </w:pPr>
      <w:r>
        <w:rPr>
          <w:rFonts w:ascii="Calibri" w:hAnsi="Calibri"/>
          <w:sz w:val="19"/>
        </w:rPr>
        <w:t>4. **Oficina General de Atención al Ciudadano y Gestión Documentaria (OGACGD - n=5):**</w:t>
      </w:r>
    </w:p>
    <w:p>
      <w:pPr>
        <w:pStyle w:val="ListBullet"/>
      </w:pPr>
      <w:r>
        <w:rPr>
          <w:sz w:val="19"/>
        </w:rPr>
        <w:t>*Deseado:* Adhocracia (38.4 pts) y Clan (32.6 pts). Fuerte vocación por erradicar las colas físicas en el palacio municipal mediante expedientes virtuales accesibles.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2.4.4 Supuestos Básicos Identificados</w:t>
      </w:r>
    </w:p>
    <w:p>
      <w:pPr>
        <w:spacing w:after="80"/>
      </w:pPr>
      <w:r>
        <w:rPr>
          <w:rFonts w:ascii="Calibri" w:hAnsi="Calibri"/>
          <w:sz w:val="19"/>
        </w:rPr>
        <w:t>A partir del análisis de artefactos institucionales (ROF 2022, RISST 2024 de 51 páginas, PEI 2025-2030 y Código de Ética), se inferieron los siguientes supuestos profundos que gobiernan la conducta real:</w:t>
      </w:r>
    </w:p>
    <w:p>
      <w:pPr>
        <w:spacing w:after="80"/>
      </w:pPr>
      <w:r>
        <w:rPr>
          <w:rFonts w:ascii="Calibri" w:hAnsi="Calibri"/>
          <w:sz w:val="19"/>
        </w:rPr>
        <w:t>#### Tabla 2.4.2 · Matriz de Desalineación Cultural (Valores Adoptados vs Supuestos Básicos)</w:t>
      </w:r>
    </w:p>
    <w:p>
      <w:r>
        <w:rPr>
          <w:rFonts w:ascii="Consolas" w:hAnsi="Consolas"/>
          <w:sz w:val="16"/>
        </w:rPr>
        <w:t>| # | Artefacto o Hecho Observado | Fuente Documental | Valor Adoptado Declarado | Supuesto Básico Subyacente Inferido | ¿Coinciden? |</w:t>
      </w:r>
    </w:p>
    <w:p>
      <w:r>
        <w:rPr>
          <w:rFonts w:ascii="Consolas" w:hAnsi="Consolas"/>
          <w:sz w:val="16"/>
        </w:rPr>
        <w:t>|---|---|---|---|---|:---:|</w:t>
      </w:r>
    </w:p>
    <w:p>
      <w:r>
        <w:rPr>
          <w:rFonts w:ascii="Consolas" w:hAnsi="Consolas"/>
          <w:sz w:val="16"/>
        </w:rPr>
        <w:t>| 1 | Trámite de compras de TI exige entre 4 y 7 firmas y sellos físicos correlativos en papel. | ROF 2022 y RISST 2024 | Modernización institucional y celeridad (PEI OEI.05) | *«La firma física en papel con sello de tinta es la única garantía real de no responsabilidad penal o civil ante el OCI».* | **NO** |</w:t>
      </w:r>
    </w:p>
    <w:p>
      <w:r>
        <w:rPr>
          <w:rFonts w:ascii="Consolas" w:hAnsi="Consolas"/>
          <w:sz w:val="16"/>
        </w:rPr>
        <w:t>| 2 | Sistema de recaudación tributaria y catastro urbano no interoperan; el vecino traslada copias físicas entre oficinas contiguas. | PEI 2025-2030 (OEI.02 / OEI.07) | Vocación de servicio y trabajo en equipo | *«La base de datos es coto de poder y patrimonio de la gerencia, no un activo corporativo».* | **NO** |</w:t>
      </w:r>
    </w:p>
    <w:p>
      <w:r>
        <w:rPr>
          <w:rFonts w:ascii="Consolas" w:hAnsi="Consolas"/>
          <w:sz w:val="16"/>
        </w:rPr>
        <w:t>| 3 | Servidores de producción operan en entornos legados obsoletos sin mantenimiento preventivo formal. | PEI 2025-2030 (AEI.07.03) | Innovación y excelencia operativa | *«Si el sistema funciona hoy, no se actualiza ni se modifica; innovar expone al funcionario a observaciones de auditoría».* | **NO** |</w:t>
      </w:r>
    </w:p>
    <w:p>
      <w:r>
        <w:rPr>
          <w:rFonts w:ascii="Consolas" w:hAnsi="Consolas"/>
          <w:sz w:val="16"/>
        </w:rPr>
        <w:t>| 4 | El RISST 2024 detalla minuciosamente sanciones disciplinarias; los registros de incidentes de seguridad permanecen en blanco. | RISST 2024 (Capítulo de Sanciones) | Cuidado del trabajador y mejora continua | *«Reportar una falla técnica, incidente o error acarrea investigación disciplinaria y castigo individual».* | **NO** |</w:t>
      </w:r>
    </w:p>
    <w:p>
      <w:r>
        <w:rPr>
          <w:rFonts w:ascii="Consolas" w:hAnsi="Consolas"/>
          <w:sz w:val="16"/>
        </w:rPr>
        <w:t>| 5 | OGTIC es convocada únicamente para cotizar computadoras e impresoras, no para rediseñar procesos. | Organigrama ROF 2022 | Liderazgo en Gobierno Digital (PEI OEI.07) | *«TI es una unidad de gasto operativo y soporte técnico de mantenimiento de PCs, no un socio estratégico de gestión».* | **NO** |</w:t>
      </w:r>
    </w:p>
    <w:p>
      <w:r>
        <w:rPr>
          <w:rFonts w:ascii="Consolas" w:hAnsi="Consolas"/>
          <w:sz w:val="16"/>
        </w:rPr>
        <w:t>| 6 | Sesiones de Concejo Municipal y audiencias se transmiten en vivo y se asientan en actas públicas foliadas. | ROF 2022 y Ley 27972 | Transparencia, legalidad y orden institucional | *«Los actos de gobierno municipal deben ser públicos, trazables y formalizados conforme a la ley».* | **SÍ** |</w:t>
      </w:r>
    </w:p>
    <w:p>
      <w:pPr>
        <w:spacing w:after="80"/>
      </w:pPr>
      <w:r>
        <w:rPr>
          <w:rFonts w:ascii="Calibri" w:hAnsi="Calibri"/>
          <w:sz w:val="19"/>
        </w:rPr>
        <w:t>---</w:t>
      </w:r>
    </w:p>
    <w:p>
      <w:pPr>
        <w:pStyle w:val="Heading3"/>
      </w:pPr>
      <w:r>
        <w:rPr>
          <w:color w:val="475569"/>
        </w:rPr>
        <w:t>2.4.5 Implicancias para la Implantación del PETI</w:t>
      </w:r>
    </w:p>
    <w:p>
      <w:pPr>
        <w:spacing w:after="80"/>
      </w:pPr>
      <w:r>
        <w:rPr>
          <w:rFonts w:ascii="Calibri" w:hAnsi="Calibri"/>
          <w:sz w:val="19"/>
        </w:rPr>
        <w:t>El diagnóstico evidencia una verdad categórica: **un PETI que diseñe proyectos tecnológicos asumiendo una organización ágil y colaborativa está condenado al fracaso si no desarma previamente la cultura de Jerarquía y el temor al control.**</w:t>
      </w:r>
    </w:p>
    <w:p>
      <w:pPr>
        <w:spacing w:after="80"/>
      </w:pPr>
      <w:r>
        <w:rPr>
          <w:rFonts w:ascii="Calibri" w:hAnsi="Calibri"/>
          <w:sz w:val="19"/>
        </w:rPr>
        <w:t>Las implicancias del diagnóstico determinan dos elementos directrices del plan:</w:t>
      </w:r>
    </w:p>
    <w:p>
      <w:pPr>
        <w:spacing w:after="80"/>
      </w:pPr>
      <w:r>
        <w:rPr>
          <w:rFonts w:ascii="Calibri" w:hAnsi="Calibri"/>
          <w:sz w:val="19"/>
        </w:rPr>
        <w:t>1. **Condicionamiento de la Hoja de Ruta (Sección 7.3):**</w:t>
      </w:r>
    </w:p>
    <w:p>
      <w:pPr>
        <w:pStyle w:val="ListBullet"/>
      </w:pPr>
      <w:r>
        <w:rPr>
          <w:sz w:val="19"/>
        </w:rPr>
        <w:t>*Prioridad Cero:* Antes de licitar o desplegar el Sistema de Gestión Documentaria o el Catastro Interoperable, la Alta Dirección debe promulgar las Directivas de Firma Digital con pleno valor probatorio legal (acreditadas por INDECOPI y RENIEC) para brindar inmunidad legal a los funcionarios que dejen el papel.</w:t>
      </w:r>
    </w:p>
    <w:p>
      <w:pPr>
        <w:pStyle w:val="ListBullet"/>
      </w:pPr>
      <w:r>
        <w:rPr>
          <w:sz w:val="19"/>
        </w:rPr>
        <w:t>*Gobernanza del Dato Previa:* Designación de directores como "Custodios de Información", venciendo el supuesto de feudalismo de bases de datos antes de la integración técnica de la Plataforma de Interoperabilidad.</w:t>
      </w:r>
    </w:p>
    <w:p>
      <w:pPr>
        <w:spacing w:after="80"/>
      </w:pPr>
      <w:r>
        <w:rPr>
          <w:rFonts w:ascii="Calibri" w:hAnsi="Calibri"/>
          <w:sz w:val="19"/>
        </w:rPr>
        <w:t>2. **Matriz de Comunicaciones y Despliegue Segmentado (Sección 10):**</w:t>
      </w:r>
    </w:p>
    <w:p>
      <w:pPr>
        <w:pStyle w:val="ListBullet"/>
      </w:pPr>
      <w:r>
        <w:rPr>
          <w:sz w:val="19"/>
        </w:rPr>
        <w:t>Para **OGAF**, el plan debe presentarse en términos de *cumplimiento de estándares de Contraloría, seguridad jurídica y trazabilidad de auditoría*.</w:t>
      </w:r>
    </w:p>
    <w:p>
      <w:pPr>
        <w:pStyle w:val="ListBullet"/>
      </w:pPr>
      <w:r>
        <w:rPr>
          <w:sz w:val="19"/>
        </w:rPr>
        <w:t>Para **GGT**, el plan debe presentarse como *un acelerador de cobranza, reducción de morosidad y cumplimiento de metas del MEF*.</w:t>
      </w:r>
    </w:p>
    <w:p>
      <w:pPr>
        <w:pStyle w:val="ListBullet"/>
      </w:pPr>
      <w:r>
        <w:rPr>
          <w:sz w:val="19"/>
        </w:rPr>
        <w:t>Para **OGTIC**, el plan debe dotarle de *empoderamiento formal y presupuesto autónomo para la automatización (AEI.07.02) y no meramente compra de fierros (AEI.07.04)*.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