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C1B" w:rsidRDefault="00A33C1B" w:rsidP="00A33C1B">
      <w:pPr>
        <w:pStyle w:val="Centrado"/>
        <w:rPr>
          <w:b/>
          <w:bCs/>
          <w:sz w:val="30"/>
          <w:szCs w:val="30"/>
        </w:rPr>
      </w:pPr>
      <w:bookmarkStart w:id="0" w:name="_GoBack"/>
      <w:bookmarkEnd w:id="0"/>
    </w:p>
    <w:p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:rsidR="00A33C1B" w:rsidRPr="00346B19" w:rsidRDefault="00A33C1B" w:rsidP="00A33C1B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:rsidR="00A33C1B" w:rsidRDefault="00A33C1B" w:rsidP="00A33C1B">
      <w:pPr>
        <w:pStyle w:val="Centrado"/>
        <w:rPr>
          <w:b/>
          <w:bCs/>
        </w:rPr>
      </w:pPr>
    </w:p>
    <w:p w:rsidR="00A33C1B" w:rsidRDefault="00A33C1B" w:rsidP="00A33C1B">
      <w:pPr>
        <w:pStyle w:val="Centrado"/>
        <w:rPr>
          <w:b/>
          <w:bCs/>
        </w:rPr>
      </w:pPr>
    </w:p>
    <w:p w:rsidR="00A33C1B" w:rsidRDefault="00A33C1B" w:rsidP="00A33C1B">
      <w:pPr>
        <w:pStyle w:val="Centrado"/>
      </w:pPr>
    </w:p>
    <w:p w:rsidR="00A33C1B" w:rsidRDefault="00A33C1B" w:rsidP="00A33C1B">
      <w:pPr>
        <w:pStyle w:val="Centrado"/>
      </w:pPr>
      <w:r>
        <w:rPr>
          <w:noProof/>
        </w:rPr>
        <w:drawing>
          <wp:inline distT="0" distB="0" distL="0" distR="0" wp14:anchorId="36182FF9" wp14:editId="58F542C4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C1B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:rsidR="00A33C1B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TALLER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rFonts w:ascii="Calibri" w:hAnsi="Calibri"/>
          <w:b/>
          <w:color w:val="16285C"/>
          <w:sz w:val="26"/>
        </w:rPr>
        <w:t>“TALLER 10: MODELADO DE LA ARQUITECTURA ACTUAL Y OBJETIVO EN ARCHI”</w:t>
      </w:r>
      <w:r>
        <w:rPr>
          <w:rFonts w:ascii="Calibri" w:hAnsi="Calibri"/>
          <w:b/>
          <w:color w:val="16285C"/>
          <w:sz w:val="26"/>
        </w:rPr>
        <w:br/>
        <w:t>(CASO: AGROEXPORTADORA VALLE VIEJO S.A.C.)</w:t>
      </w: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rFonts w:ascii="Calibri" w:hAnsi="Calibri"/>
          <w:b/>
        </w:rPr>
        <w:t>“PLANEAMIENTO ESTRATÉGICO DE TECNOLOGÍAS DE LA INFORMACIÓN”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rFonts w:ascii="Calibri" w:hAnsi="Calibri"/>
          <w:b/>
        </w:rPr>
        <w:t>AROCUTIPA AROCUTIPA, GIANFRANCO · 2023076790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rFonts w:ascii="Calibri" w:hAnsi="Calibri"/>
          <w:b/>
        </w:rPr>
        <w:t>DR. OSCAR JUAN JIMENEZ FLORES</w:t>
      </w: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rFonts w:ascii="Calibri" w:hAnsi="Calibri"/>
        </w:rPr>
        <w:t>TACNA — PERÚ</w:t>
      </w:r>
      <w:r>
        <w:rPr>
          <w:rFonts w:ascii="Calibri" w:hAnsi="Calibri"/>
        </w:rPr>
        <w:br/>
        <w:t>2026</w:t>
      </w:r>
    </w:p>
    <w:p w:rsidR="00A33C1B" w:rsidRDefault="00A33C1B" w:rsidP="00A33C1B">
      <w:pPr>
        <w:rPr>
          <w:b/>
          <w:color w:val="16285C"/>
          <w:sz w:val="28"/>
          <w:szCs w:val="28"/>
        </w:rPr>
      </w:pPr>
      <w:r>
        <w:br w:type="page"/>
      </w:r>
    </w:p>
    <w:p w:rsidR="00312DFB" w:rsidRDefault="00EB0427">
      <w:pPr>
        <w:pStyle w:val="Ttulo1"/>
      </w:pPr>
      <w:bookmarkStart w:id="1" w:name="_Toc242976713"/>
      <w:r>
        <w:lastRenderedPageBreak/>
        <w:t>Índice</w:t>
      </w:r>
      <w:bookmarkEnd w:id="1"/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976713" w:history="1">
        <w:r w:rsidRPr="00AD1BD1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14" w:history="1">
        <w:r w:rsidRPr="00AD1BD1">
          <w:rPr>
            <w:rStyle w:val="Hipervnculo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15" w:history="1">
        <w:r w:rsidRPr="00AD1BD1">
          <w:rPr>
            <w:rStyle w:val="Hipervnculo"/>
            <w:rFonts w:ascii="Calibri" w:hAnsi="Calibri"/>
            <w:noProof/>
          </w:rPr>
          <w:t>1. Información sobre 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16" w:history="1">
        <w:r w:rsidRPr="00AD1BD1">
          <w:rPr>
            <w:rStyle w:val="Hipervnculo"/>
            <w:rFonts w:ascii="Calibri" w:hAnsi="Calibri"/>
            <w:noProof/>
          </w:rPr>
          <w:t>1.1 Título del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17" w:history="1">
        <w:r w:rsidRPr="00AD1BD1">
          <w:rPr>
            <w:rStyle w:val="Hipervnculo"/>
            <w:rFonts w:ascii="Calibri" w:hAnsi="Calibri"/>
            <w:noProof/>
          </w:rPr>
          <w:t>1.2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18" w:history="1">
        <w:r w:rsidRPr="00AD1BD1">
          <w:rPr>
            <w:rStyle w:val="Hipervnculo"/>
            <w:rFonts w:ascii="Calibri" w:hAnsi="Calibri"/>
            <w:noProof/>
          </w:rPr>
          <w:t>1.3 Tiempo de duración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19" w:history="1">
        <w:r w:rsidRPr="00AD1BD1">
          <w:rPr>
            <w:rStyle w:val="Hipervnculo"/>
            <w:rFonts w:ascii="Calibri" w:hAnsi="Calibri"/>
            <w:noProof/>
          </w:rPr>
          <w:t>1.4 Resultados de aprendizaje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0" w:history="1">
        <w:r w:rsidRPr="00AD1BD1">
          <w:rPr>
            <w:rStyle w:val="Hipervnculo"/>
            <w:rFonts w:ascii="Calibri" w:hAnsi="Calibri"/>
            <w:noProof/>
          </w:rPr>
          <w:t>1.5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1" w:history="1">
        <w:r w:rsidRPr="00AD1BD1">
          <w:rPr>
            <w:rStyle w:val="Hipervnculo"/>
            <w:rFonts w:ascii="Calibri" w:hAnsi="Calibri"/>
            <w:noProof/>
          </w:rPr>
          <w:t>1.6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2" w:history="1">
        <w:r w:rsidRPr="00AD1BD1">
          <w:rPr>
            <w:rStyle w:val="Hipervnculo"/>
            <w:rFonts w:ascii="Calibri" w:hAnsi="Calibri"/>
            <w:noProof/>
          </w:rPr>
          <w:t>2. Procedimiento o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3" w:history="1">
        <w:r w:rsidRPr="00AD1BD1">
          <w:rPr>
            <w:rStyle w:val="Hipervnculo"/>
            <w:rFonts w:ascii="Calibri" w:hAnsi="Calibri"/>
            <w:noProof/>
          </w:rPr>
          <w:t>Paso A — Declarar los principios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4" w:history="1">
        <w:r w:rsidRPr="00AD1BD1">
          <w:rPr>
            <w:rStyle w:val="Hipervnculo"/>
            <w:rFonts w:ascii="Calibri" w:hAnsi="Calibri"/>
            <w:noProof/>
          </w:rPr>
          <w:t>Paso B — Modelar la arquitectura actual (As-Is)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5" w:history="1">
        <w:r w:rsidRPr="00AD1BD1">
          <w:rPr>
            <w:rStyle w:val="Hipervnculo"/>
            <w:rFonts w:ascii="Calibri" w:hAnsi="Calibri"/>
            <w:noProof/>
          </w:rPr>
          <w:t>Paso C — Modelar la arquitectura objetivo (To-Be)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6" w:history="1">
        <w:r w:rsidRPr="00AD1BD1">
          <w:rPr>
            <w:rStyle w:val="Hipervnculo"/>
            <w:rFonts w:ascii="Calibri" w:hAnsi="Calibri"/>
            <w:noProof/>
          </w:rPr>
          <w:t>Paso D — Análisis de brechas y paquetes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7" w:history="1">
        <w:r w:rsidRPr="00AD1BD1">
          <w:rPr>
            <w:rStyle w:val="Hipervnculo"/>
            <w:rFonts w:ascii="Calibri" w:hAnsi="Calibri"/>
            <w:noProof/>
          </w:rPr>
          <w:t>Paso E — Vistas y redacción de la Sección 5 del PETI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8" w:history="1">
        <w:r w:rsidRPr="00AD1BD1">
          <w:rPr>
            <w:rStyle w:val="Hipervnculo"/>
            <w:rFonts w:ascii="Calibri" w:hAnsi="Calibri"/>
            <w:noProof/>
          </w:rPr>
          <w:t>Paso F — Validar y corregir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29" w:history="1">
        <w:r w:rsidRPr="00AD1BD1">
          <w:rPr>
            <w:rStyle w:val="Hipervnculo"/>
            <w:rFonts w:ascii="Calibri" w:hAnsi="Calibri"/>
            <w:noProof/>
          </w:rPr>
          <w:t>Paso G — Registrar la evidencia y cerrar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30" w:history="1">
        <w:r w:rsidRPr="00AD1BD1">
          <w:rPr>
            <w:rStyle w:val="Hipervnculo"/>
            <w:rFonts w:ascii="Calibri" w:hAnsi="Calibri"/>
            <w:noProof/>
          </w:rPr>
          <w:t>3.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31" w:history="1">
        <w:r w:rsidRPr="00AD1BD1">
          <w:rPr>
            <w:rStyle w:val="Hipervnculo"/>
            <w:rFonts w:ascii="Calibri" w:hAnsi="Calibri"/>
            <w:noProof/>
          </w:rPr>
          <w:t>4.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32" w:history="1">
        <w:r w:rsidRPr="00AD1BD1">
          <w:rPr>
            <w:rStyle w:val="Hipervnculo"/>
            <w:rFonts w:ascii="Calibri" w:hAnsi="Calibri"/>
            <w:noProof/>
          </w:rPr>
          <w:t>5. Cuestionario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33" w:history="1">
        <w:r w:rsidRPr="00AD1BD1">
          <w:rPr>
            <w:rStyle w:val="Hipervnculo"/>
            <w:rFonts w:ascii="Calibri" w:hAnsi="Calibri"/>
            <w:noProof/>
          </w:rPr>
          <w:t>6. 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B0427" w:rsidRDefault="00EB0427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2976734" w:history="1">
        <w:r w:rsidRPr="00AD1BD1">
          <w:rPr>
            <w:rStyle w:val="Hipervnculo"/>
            <w:rFonts w:ascii="Calibri" w:hAnsi="Calibri"/>
            <w:noProof/>
          </w:rPr>
          <w:t>7.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12DFB" w:rsidRDefault="00EB0427">
      <w:r>
        <w:fldChar w:fldCharType="end"/>
      </w:r>
    </w:p>
    <w:p w:rsidR="00312DFB" w:rsidRDefault="00EB0427">
      <w:r>
        <w:br w:type="page"/>
      </w:r>
    </w:p>
    <w:p w:rsidR="00312DFB" w:rsidRDefault="00EB0427">
      <w:pPr>
        <w:pStyle w:val="Ttulo1"/>
      </w:pPr>
      <w:bookmarkStart w:id="2" w:name="_Toc242976714"/>
      <w:r>
        <w:lastRenderedPageBreak/>
        <w:t>Cómo se usa esta plantilla</w:t>
      </w:r>
      <w:bookmarkEnd w:id="2"/>
    </w:p>
    <w:p w:rsidR="00312DFB" w:rsidRDefault="00EB0427">
      <w:pPr>
        <w:pStyle w:val="FirstParagraph"/>
      </w:pPr>
      <w:r>
        <w:t xml:space="preserve">Este es el formato en el que se entrega </w:t>
      </w:r>
      <w:r>
        <w:rPr>
          <w:b/>
          <w:bCs/>
        </w:rPr>
        <w:t>todo informe de taller de SI-886</w:t>
      </w:r>
      <w:r>
        <w:t xml:space="preserve">. Se llena en Word y se entrega en </w:t>
      </w:r>
      <w:r>
        <w:rPr>
          <w:b/>
          <w:bCs/>
        </w:rPr>
        <w:t>PDF</w:t>
      </w:r>
      <w:r>
        <w:t>.</w:t>
      </w:r>
    </w:p>
    <w:p w:rsidR="00312DFB" w:rsidRDefault="00EB0427">
      <w:pPr>
        <w:pStyle w:val="Compact"/>
        <w:numPr>
          <w:ilvl w:val="0"/>
          <w:numId w:val="2"/>
        </w:numPr>
      </w:pPr>
      <w:r>
        <w:t>Guarda</w:t>
      </w:r>
      <w:r>
        <w:t xml:space="preserve"> una copia con el nombre </w:t>
      </w:r>
      <w:r>
        <w:rPr>
          <w:rStyle w:val="VerbatimChar"/>
          <w:b/>
          <w:bCs/>
        </w:rPr>
        <w:t>SI886-S&lt;NN&gt;-TALLER-Grupo&lt;N&gt;.pdf</w:t>
      </w:r>
      <w:r>
        <w:t xml:space="preserve">. Por ejemplo, </w:t>
      </w:r>
      <w:r>
        <w:rPr>
          <w:rStyle w:val="VerbatimChar"/>
        </w:rPr>
        <w:t>SI886-S03-TALLER-Grupo4.pdf</w:t>
      </w:r>
      <w:r>
        <w:t>.</w:t>
      </w:r>
    </w:p>
    <w:p w:rsidR="00312DFB" w:rsidRDefault="00EB0427">
      <w:pPr>
        <w:pStyle w:val="Compact"/>
        <w:numPr>
          <w:ilvl w:val="0"/>
          <w:numId w:val="2"/>
        </w:numPr>
      </w:pPr>
      <w:r>
        <w:t>Completa la carátula. Escribe los integrantes con apellidos, nombres y código, uno por línea.</w:t>
      </w:r>
    </w:p>
    <w:p w:rsidR="00312DFB" w:rsidRDefault="00EB0427">
      <w:pPr>
        <w:pStyle w:val="Compact"/>
        <w:numPr>
          <w:ilvl w:val="0"/>
          <w:numId w:val="2"/>
        </w:numPr>
      </w:pPr>
      <w:r>
        <w:t xml:space="preserve">Copia el enunciado de cada sección desde el archivo </w:t>
      </w:r>
      <w:r>
        <w:rPr>
          <w:rStyle w:val="VerbatimChar"/>
        </w:rPr>
        <w:t>3-TALLER.md</w:t>
      </w:r>
      <w:r>
        <w:t xml:space="preserve"> de la semana. Las siete secciones son las del formato EPIS y van en este orden.</w:t>
      </w:r>
    </w:p>
    <w:p w:rsidR="00312DFB" w:rsidRDefault="00EB0427">
      <w:pPr>
        <w:pStyle w:val="Compact"/>
        <w:numPr>
          <w:ilvl w:val="0"/>
          <w:numId w:val="2"/>
        </w:numPr>
      </w:pPr>
      <w:r>
        <w:t xml:space="preserve">Actualiza el índice antes de exportar. Clic derecho sobre el índice y luego </w:t>
      </w:r>
      <w:r>
        <w:rPr>
          <w:b/>
          <w:bCs/>
        </w:rPr>
        <w:t>Actualizar campos</w:t>
      </w:r>
      <w:r>
        <w:t>.</w:t>
      </w:r>
    </w:p>
    <w:p w:rsidR="00312DFB" w:rsidRDefault="00EB0427">
      <w:pPr>
        <w:pStyle w:val="Compact"/>
        <w:numPr>
          <w:ilvl w:val="0"/>
          <w:numId w:val="2"/>
        </w:numPr>
      </w:pPr>
      <w:r>
        <w:t xml:space="preserve">Exporta con </w:t>
      </w:r>
      <w:r>
        <w:rPr>
          <w:b/>
          <w:bCs/>
        </w:rPr>
        <w:t>Archivo → Guardar como → PDF</w:t>
      </w:r>
      <w:r>
        <w:t xml:space="preserve">. No entregues el </w:t>
      </w:r>
      <w:r>
        <w:rPr>
          <w:rStyle w:val="VerbatimChar"/>
        </w:rPr>
        <w:t>.docx</w:t>
      </w:r>
      <w:r>
        <w:t>.</w:t>
      </w:r>
    </w:p>
    <w:p w:rsidR="00312DFB" w:rsidRDefault="00EB0427">
      <w:pPr>
        <w:pStyle w:val="FirstParagraph"/>
      </w:pPr>
      <w:r>
        <w:t>Borra esta página antes de entregar.</w:t>
      </w:r>
    </w:p>
    <w:p w:rsidR="00312DFB" w:rsidRDefault="00EB0427">
      <w:r>
        <w:br w:type="page"/>
      </w:r>
    </w:p>
    <w:p w:rsidR="00BF4C4C" w:rsidRDefault="00EB0427">
      <w:pPr>
        <w:pStyle w:val="Ttulo1"/>
        <w:spacing w:after="120"/>
      </w:pPr>
      <w:bookmarkStart w:id="3" w:name="_Toc242976715"/>
      <w:r>
        <w:rPr>
          <w:rFonts w:ascii="Calibri" w:hAnsi="Calibri"/>
        </w:rPr>
        <w:lastRenderedPageBreak/>
        <w:t>1. Información sobre el evento práctico</w:t>
      </w:r>
      <w:bookmarkEnd w:id="3"/>
    </w:p>
    <w:p w:rsidR="00BF4C4C" w:rsidRDefault="00EB0427">
      <w:pPr>
        <w:pStyle w:val="Ttulo2"/>
        <w:spacing w:after="80"/>
      </w:pPr>
      <w:bookmarkStart w:id="4" w:name="_Toc242976716"/>
      <w:r>
        <w:rPr>
          <w:rFonts w:ascii="Calibri" w:hAnsi="Calibri"/>
          <w:color w:val="1F4E79"/>
        </w:rPr>
        <w:t>1.1 Título del evento práctico</w:t>
      </w:r>
      <w:bookmarkEnd w:id="4"/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>Taller de Laboratorio 10 · Modelado de la arquitectura actual y objetivo en Archi (Caso: Agroexportadora Valle Viejo S.A.C.)</w:t>
      </w:r>
    </w:p>
    <w:p w:rsidR="00BF4C4C" w:rsidRDefault="00EB0427">
      <w:pPr>
        <w:pStyle w:val="Ttulo2"/>
        <w:spacing w:after="80"/>
      </w:pPr>
      <w:bookmarkStart w:id="5" w:name="_Toc242976717"/>
      <w:r>
        <w:rPr>
          <w:rFonts w:ascii="Calibri" w:hAnsi="Calibri"/>
          <w:color w:val="1F4E79"/>
        </w:rPr>
        <w:t>1.2 Objetivos</w:t>
      </w:r>
      <w:bookmarkEnd w:id="5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Decla</w:t>
      </w:r>
      <w:r>
        <w:rPr>
          <w:rFonts w:ascii="Calibri" w:hAnsi="Calibri"/>
          <w:color w:val="334155"/>
          <w:sz w:val="20"/>
        </w:rPr>
        <w:t>rar los principios de arquitectura empresarial que gobernarán las decisiones del Plan Estratégico de TI, fundamentados en TOGAF Standard 10th Edition.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 xml:space="preserve">Modelar la arquitectura actual (As-Is) en sus tres capas (Negocio, Aplicación y Tecnología) utilizando </w:t>
      </w:r>
      <w:r>
        <w:rPr>
          <w:rFonts w:ascii="Calibri" w:hAnsi="Calibri"/>
          <w:color w:val="334155"/>
          <w:sz w:val="20"/>
        </w:rPr>
        <w:t>el estándar ArchiMate 3.2.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Construir la vista de cooperación proceso-aplicación e identificar con precisión matemática los procesos de la cadena de valor sin soporte o con soporte deficiente.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Construir la estructura de la información con fuentes autori</w:t>
      </w:r>
      <w:r>
        <w:rPr>
          <w:rFonts w:ascii="Calibri" w:hAnsi="Calibri"/>
          <w:color w:val="334155"/>
          <w:sz w:val="20"/>
        </w:rPr>
        <w:t>tativas, dueños de dato por cargo, discrepancias observadas y categorización de datos personales bajo la Ley N° 29733.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Modelar la arquitectura objetivo (To-Be) derivada de la visión del plan y de las capacidades requeridas, con cada cambio trazado a su o</w:t>
      </w:r>
      <w:r>
        <w:rPr>
          <w:rFonts w:ascii="Calibri" w:hAnsi="Calibri"/>
          <w:color w:val="334155"/>
          <w:sz w:val="20"/>
        </w:rPr>
        <w:t>rigen.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Ejecutar el análisis de brechas mediante script automatizado en Python y derivar los paquetes de trabajo con su secuencia obligada por dependencias.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Redactar formalmente la Sección 5 (Arquitectura Empresarial) del PETI para su incorporación en l</w:t>
      </w:r>
      <w:r>
        <w:rPr>
          <w:rFonts w:ascii="Calibri" w:hAnsi="Calibri"/>
          <w:color w:val="334155"/>
          <w:sz w:val="20"/>
        </w:rPr>
        <w:t>a versión v0.10.</w:t>
      </w:r>
    </w:p>
    <w:p w:rsidR="00BF4C4C" w:rsidRDefault="00EB0427">
      <w:pPr>
        <w:pStyle w:val="Ttulo2"/>
        <w:spacing w:after="80"/>
      </w:pPr>
      <w:bookmarkStart w:id="6" w:name="_Toc242976718"/>
      <w:r>
        <w:rPr>
          <w:rFonts w:ascii="Calibri" w:hAnsi="Calibri"/>
          <w:color w:val="1F4E79"/>
        </w:rPr>
        <w:t>1.3 Tiempo de duración</w:t>
      </w:r>
      <w:bookmarkEnd w:id="6"/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>100 minutos</w:t>
      </w:r>
    </w:p>
    <w:p w:rsidR="00BF4C4C" w:rsidRDefault="00EB0427">
      <w:pPr>
        <w:pStyle w:val="Ttulo2"/>
        <w:spacing w:after="80"/>
      </w:pPr>
      <w:bookmarkStart w:id="7" w:name="_Toc242976719"/>
      <w:r>
        <w:rPr>
          <w:rFonts w:ascii="Calibri" w:hAnsi="Calibri"/>
          <w:color w:val="1F4E79"/>
        </w:rPr>
        <w:t>1.4 Resultados de aprendizaje</w:t>
      </w:r>
      <w:bookmarkEnd w:id="7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Aplica formalmente los conceptos y notaciones de ArchiMate 3.2 para representar las interacciones entre procesos de negocio, aplicaciones, datos y tecnología en una empresa</w:t>
      </w:r>
      <w:r>
        <w:rPr>
          <w:rFonts w:ascii="Calibri" w:hAnsi="Calibri"/>
          <w:color w:val="334155"/>
          <w:sz w:val="20"/>
        </w:rPr>
        <w:t xml:space="preserve"> agroexportadora.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Identifica y formaliza los componentes de software de la organización, incorporando de manera explícita las hojas de cálculo operativas que funcionan como sistemas críticos (Shadow IT).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Diagnostica inconsistencias y dispersión de dato</w:t>
      </w:r>
      <w:r>
        <w:rPr>
          <w:rFonts w:ascii="Calibri" w:hAnsi="Calibri"/>
          <w:color w:val="334155"/>
          <w:sz w:val="20"/>
        </w:rPr>
        <w:t>s maestros, estableciendo fuentes autoritativas y asignando custodios formales por cargo directivo.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Formula paquetes de trabajo ejecutables a partir de matrices de brechas y calcula la ruta de migración obligada por dependencias técnicas.</w:t>
      </w:r>
    </w:p>
    <w:p w:rsidR="00BF4C4C" w:rsidRDefault="00EB0427">
      <w:pPr>
        <w:pStyle w:val="Ttulo2"/>
        <w:spacing w:after="80"/>
      </w:pPr>
      <w:bookmarkStart w:id="8" w:name="_Toc242976720"/>
      <w:r>
        <w:rPr>
          <w:rFonts w:ascii="Calibri" w:hAnsi="Calibri"/>
          <w:color w:val="1F4E79"/>
        </w:rPr>
        <w:t>1.5 Recursos</w:t>
      </w:r>
      <w:bookmarkEnd w:id="8"/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>Pa</w:t>
      </w:r>
      <w:r>
        <w:rPr>
          <w:rFonts w:ascii="Calibri" w:hAnsi="Calibri"/>
          <w:color w:val="334155"/>
          <w:sz w:val="20"/>
        </w:rPr>
        <w:t>ra el desarrollo del presente taller práctico se emplearon los siguientes recursos tecnológicos, normativos y documentales: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5184"/>
      </w:tblGrid>
      <w:tr w:rsidR="00BF4C4C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Recurso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518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 qué se usó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b/>
                <w:sz w:val="17"/>
              </w:rPr>
              <w:t>Archi (ArchiMate Tool)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5.4.x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 xml:space="preserve">Modelador libre ArchiMate 3.2 para la construcción y exportación de </w:t>
            </w:r>
            <w:r>
              <w:rPr>
                <w:rFonts w:ascii="Calibri" w:hAnsi="Calibri"/>
                <w:sz w:val="17"/>
              </w:rPr>
              <w:t>las vistas As-Is y To-Be en las tres capas.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b/>
                <w:sz w:val="17"/>
              </w:rPr>
              <w:t>Python &amp; pandas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3.13 / 2.2+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Automatización del cálculo de brechas, agrupación en paquetes de trabajo y secuencia obligada en '05_arquitectura/AR03_brechas.py'.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b/>
                <w:sz w:val="17"/>
              </w:rPr>
              <w:lastRenderedPageBreak/>
              <w:t>Repositorio GitHub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Git 2.x / Tag taller-10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Control</w:t>
            </w:r>
            <w:r>
              <w:rPr>
                <w:rFonts w:ascii="Calibri" w:hAnsi="Calibri"/>
                <w:sz w:val="17"/>
              </w:rPr>
              <w:t xml:space="preserve"> de versiones oficial y aseguramiento de evidencias enlazadas: https://github.com/GianfrancoArocutipa/Taller10_Empresa_01_Exportadora/tree/taller-10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b/>
                <w:sz w:val="17"/>
              </w:rPr>
              <w:t>Ficha Institucional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Edición 2026 (7 pp.)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 xml:space="preserve">Fuente primaria con hechos verificables, incidentes del periodo, </w:t>
            </w:r>
            <w:r>
              <w:rPr>
                <w:rFonts w:ascii="Calibri" w:hAnsi="Calibri"/>
                <w:sz w:val="17"/>
              </w:rPr>
              <w:t>riesgos conocidos y estructura de Agroexportadora Valle Viejo S.A.C.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b/>
                <w:sz w:val="17"/>
              </w:rPr>
              <w:t>Inventario de Arquitectura Actual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14/07/2026 (Restringido)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Inventario técnico con aplicaciones, hojas de cálculo operativas, integraciones manuales, entidades de datos y topología de red</w:t>
            </w:r>
            <w:r>
              <w:rPr>
                <w:rFonts w:ascii="Calibri" w:hAnsi="Calibri"/>
                <w:sz w:val="17"/>
              </w:rPr>
              <w:t>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b/>
                <w:sz w:val="17"/>
              </w:rPr>
              <w:t>TOGAF Standard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10.ª Edición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Marco de arquitectura empresarial, fases B, C, D (Sistemas), E (Oportunidades) y F (Migración) del método ADM.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b/>
                <w:sz w:val="17"/>
              </w:rPr>
              <w:t>ArchiMate 3.2 Specification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The Open Group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Estándar formal de modelado visual para relaciones de servicio, asigna</w:t>
            </w:r>
            <w:r>
              <w:rPr>
                <w:rFonts w:ascii="Calibri" w:hAnsi="Calibri"/>
                <w:sz w:val="17"/>
              </w:rPr>
              <w:t>ción, acceso y realización.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b/>
                <w:sz w:val="17"/>
              </w:rPr>
              <w:t>COBIT 2019 Framework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ISACA (APO03, DSS04)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C4C" w:rsidRDefault="00EB0427">
            <w:r>
              <w:rPr>
                <w:rFonts w:ascii="Calibri" w:hAnsi="Calibri"/>
                <w:sz w:val="17"/>
              </w:rPr>
              <w:t>Buenas prácticas de gestión de arquitectura empresarial y continuidad operativa/respaldo inmutable.</w:t>
            </w:r>
          </w:p>
        </w:tc>
      </w:tr>
    </w:tbl>
    <w:p w:rsidR="00BF4C4C" w:rsidRDefault="00EB0427">
      <w:pPr>
        <w:pStyle w:val="Ttulo2"/>
        <w:spacing w:after="80"/>
      </w:pPr>
      <w:bookmarkStart w:id="9" w:name="_Toc242976721"/>
      <w:r>
        <w:rPr>
          <w:rFonts w:ascii="Calibri" w:hAnsi="Calibri"/>
          <w:color w:val="1F4E79"/>
        </w:rPr>
        <w:t>1.6 Seguridad</w:t>
      </w:r>
      <w:bookmarkEnd w:id="9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 xml:space="preserve">El modelo de arquitectura empresarial describe la superficie </w:t>
      </w:r>
      <w:r>
        <w:rPr>
          <w:rFonts w:ascii="Calibri" w:hAnsi="Calibri"/>
          <w:color w:val="334155"/>
          <w:sz w:val="20"/>
        </w:rPr>
        <w:t>tecnológica completa de Agroexportadora Valle Viejo S.A.C. Por tratarse de información de clasificación Restringida, no se divulgan rutas internas, credenciales de acceso ni direcciones IP.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Se omitieron del informe versiones exactas de componentes vulner</w:t>
      </w:r>
      <w:r>
        <w:rPr>
          <w:rFonts w:ascii="Calibri" w:hAnsi="Calibri"/>
          <w:color w:val="334155"/>
          <w:sz w:val="20"/>
        </w:rPr>
        <w:t>ables y nombres de usuario administrativo para evitar vectores de ataque.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El archivo nativo del modelo '.archimate' y los datasets se resguardan en el repositorio del equipo bajo control de versiones seguro y no se publican en wikis abiertas.</w:t>
      </w:r>
    </w:p>
    <w:p w:rsidR="00BF4C4C" w:rsidRDefault="00EB0427">
      <w:pPr>
        <w:pStyle w:val="Ttulo1"/>
        <w:spacing w:after="120"/>
      </w:pPr>
      <w:bookmarkStart w:id="10" w:name="_Toc242976722"/>
      <w:r>
        <w:rPr>
          <w:rFonts w:ascii="Calibri" w:hAnsi="Calibri"/>
        </w:rPr>
        <w:t>2. Procedim</w:t>
      </w:r>
      <w:r>
        <w:rPr>
          <w:rFonts w:ascii="Calibri" w:hAnsi="Calibri"/>
        </w:rPr>
        <w:t>iento o metodología</w:t>
      </w:r>
      <w:bookmarkEnd w:id="10"/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>Cada paso metodológico detalla el objetivo perseguido, el comando o acción ejecutada y la evidencia verificable de funcionamiento, permitiendo la total reproducibilidad del proceso.</w:t>
      </w:r>
    </w:p>
    <w:p w:rsidR="00BF4C4C" w:rsidRDefault="00EB0427">
      <w:pPr>
        <w:pStyle w:val="Ttulo2"/>
        <w:spacing w:after="80"/>
      </w:pPr>
      <w:bookmarkStart w:id="11" w:name="_Toc242976723"/>
      <w:r>
        <w:rPr>
          <w:rFonts w:ascii="Calibri" w:hAnsi="Calibri"/>
          <w:color w:val="1F4E79"/>
        </w:rPr>
        <w:t>Paso A — Declarar los principios de arquitectura</w:t>
      </w:r>
      <w:bookmarkEnd w:id="11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Qué se buscaba: </w:t>
      </w:r>
      <w:r>
        <w:rPr>
          <w:rFonts w:ascii="Calibri" w:hAnsi="Calibri"/>
          <w:color w:val="334155"/>
          <w:sz w:val="20"/>
        </w:rPr>
        <w:t>Definir las reglas directrices obligatorias que gobernarán las decisiones del PETI de Agroexportadora Valle Viejo S.A.C., articuladas con los hallazgos del diagnóstico, los incidentes conocidos y los riesgos no tratados.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>Comando o acción:</w:t>
      </w:r>
      <w:r>
        <w:rPr>
          <w:rFonts w:ascii="Calibri" w:hAnsi="Calibri"/>
          <w:b/>
          <w:color w:val="0F172A"/>
          <w:sz w:val="20"/>
        </w:rPr>
        <w:t xml:space="preserve"> </w:t>
      </w:r>
      <w:r>
        <w:rPr>
          <w:rFonts w:ascii="Calibri" w:hAnsi="Calibri"/>
          <w:color w:val="334155"/>
          <w:sz w:val="20"/>
        </w:rPr>
        <w:t>Redacción formal de '05_arquitectura/AR01_principios.md', definiendo seis principios bajo el estándar TOGAF (Nombre, Declaración, Razón, Implicancias y Trazabilidad). Enlace verificable en GitHub: https://github.com/GianfrancoArocutipa/Taller10_Empresa_01</w:t>
      </w:r>
      <w:r>
        <w:rPr>
          <w:rFonts w:ascii="Calibri" w:hAnsi="Calibri"/>
          <w:color w:val="334155"/>
          <w:sz w:val="20"/>
        </w:rPr>
        <w:t>_Exportadora/tree/taller-10/05_arquitectura/AR01_principios.md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Evidencia de que funcionó: </w:t>
      </w:r>
      <w:r>
        <w:rPr>
          <w:rFonts w:ascii="Calibri" w:hAnsi="Calibri"/>
          <w:color w:val="334155"/>
          <w:sz w:val="20"/>
        </w:rPr>
        <w:t>Seis principios formulados e incorporados a la Sección 5.1 del PETI:</w:t>
      </w:r>
    </w:p>
    <w:p w:rsidR="00BF4C4C" w:rsidRDefault="00EB0427">
      <w:pPr>
        <w:pStyle w:val="Compact"/>
        <w:ind w:left="360"/>
      </w:pPr>
      <w:r>
        <w:rPr>
          <w:rFonts w:ascii="Calibri" w:hAnsi="Calibri"/>
          <w:b/>
          <w:sz w:val="18"/>
        </w:rPr>
        <w:t>Principio 1 · Dato único con dueño (MDM):</w:t>
      </w:r>
      <w:r>
        <w:rPr>
          <w:rFonts w:ascii="Calibri" w:hAnsi="Calibri"/>
          <w:sz w:val="18"/>
        </w:rPr>
        <w:t xml:space="preserve"> Cada entidad crítica (Lote, Productor, Pesaje) posee </w:t>
      </w:r>
      <w:r>
        <w:rPr>
          <w:rFonts w:ascii="Calibri" w:hAnsi="Calibri"/>
          <w:sz w:val="18"/>
        </w:rPr>
        <w:t>una única fuente autoritativa en el ERP y un dueño por cargo directivo (Gerencia de Producción / Jefatura de Compras). Razón: discrepancia de hasta 6% en kilos por lote y 32 productores no registrados en el ERP.</w:t>
      </w:r>
    </w:p>
    <w:p w:rsidR="00BF4C4C" w:rsidRDefault="00EB0427">
      <w:pPr>
        <w:pStyle w:val="Compact"/>
        <w:ind w:left="360"/>
      </w:pPr>
      <w:r>
        <w:rPr>
          <w:rFonts w:ascii="Calibri" w:hAnsi="Calibri"/>
          <w:b/>
          <w:sz w:val="18"/>
        </w:rPr>
        <w:t>Principio 2 · Trazabilidad integral automati</w:t>
      </w:r>
      <w:r>
        <w:rPr>
          <w:rFonts w:ascii="Calibri" w:hAnsi="Calibri"/>
          <w:b/>
          <w:sz w:val="18"/>
        </w:rPr>
        <w:t>zada (Field-to-Fork):</w:t>
      </w:r>
      <w:r>
        <w:rPr>
          <w:rFonts w:ascii="Calibri" w:hAnsi="Calibri"/>
          <w:sz w:val="18"/>
        </w:rPr>
        <w:t xml:space="preserve"> Registro en tiempo real desde la recepción de la aceituna hasta el embarque aduanero sin digitación manual. Razón: exigencia SENASA y clientes de Europa; el cierre de trazabilidad tardaba 11 días.</w:t>
      </w:r>
    </w:p>
    <w:p w:rsidR="00BF4C4C" w:rsidRDefault="00EB0427">
      <w:pPr>
        <w:pStyle w:val="Compact"/>
        <w:ind w:left="360"/>
      </w:pPr>
      <w:r>
        <w:rPr>
          <w:rFonts w:ascii="Calibri" w:hAnsi="Calibri"/>
          <w:b/>
          <w:sz w:val="18"/>
        </w:rPr>
        <w:lastRenderedPageBreak/>
        <w:t>Principio 3 · Integración por servici</w:t>
      </w:r>
      <w:r>
        <w:rPr>
          <w:rFonts w:ascii="Calibri" w:hAnsi="Calibri"/>
          <w:b/>
          <w:sz w:val="18"/>
        </w:rPr>
        <w:t>os e interfaces estandarizadas:</w:t>
      </w:r>
      <w:r>
        <w:rPr>
          <w:rFonts w:ascii="Calibri" w:hAnsi="Calibri"/>
          <w:sz w:val="18"/>
        </w:rPr>
        <w:t xml:space="preserve"> Interconexión mediante APIs REST y servicios web, erradicando la digitación manual diferida entre la balanza, el ERP y planillas. Razón: la balanza se transcribía en papel al día siguiente.</w:t>
      </w:r>
    </w:p>
    <w:p w:rsidR="00BF4C4C" w:rsidRDefault="00EB0427">
      <w:pPr>
        <w:pStyle w:val="Compact"/>
        <w:ind w:left="360"/>
      </w:pPr>
      <w:r>
        <w:rPr>
          <w:rFonts w:ascii="Calibri" w:hAnsi="Calibri"/>
          <w:b/>
          <w:sz w:val="18"/>
        </w:rPr>
        <w:t>Principio 4 · Continuidad operativ</w:t>
      </w:r>
      <w:r>
        <w:rPr>
          <w:rFonts w:ascii="Calibri" w:hAnsi="Calibri"/>
          <w:b/>
          <w:sz w:val="18"/>
        </w:rPr>
        <w:t>a, respaldo inmutable y recuperación verificada:</w:t>
      </w:r>
      <w:r>
        <w:rPr>
          <w:rFonts w:ascii="Calibri" w:hAnsi="Calibri"/>
          <w:sz w:val="18"/>
        </w:rPr>
        <w:t xml:space="preserve"> Alta disponibilidad, respaldo inmutable en la nube (RPO ≤ 1h, RTO ≤ 4h) y UPS corporativo. Razón: servidor único con UPS de 10 min y pérdida de la base de datos de campaña 2024 en la PC de planta.</w:t>
      </w:r>
    </w:p>
    <w:p w:rsidR="00BF4C4C" w:rsidRDefault="00EB0427">
      <w:pPr>
        <w:pStyle w:val="Compact"/>
        <w:ind w:left="360"/>
      </w:pPr>
      <w:r>
        <w:rPr>
          <w:rFonts w:ascii="Calibri" w:hAnsi="Calibri"/>
          <w:b/>
          <w:sz w:val="18"/>
        </w:rPr>
        <w:t xml:space="preserve">Principio </w:t>
      </w:r>
      <w:r>
        <w:rPr>
          <w:rFonts w:ascii="Calibri" w:hAnsi="Calibri"/>
          <w:b/>
          <w:sz w:val="18"/>
        </w:rPr>
        <w:t>5 · Seguridad, privacidad y cumplimiento legal desde el diseño:</w:t>
      </w:r>
      <w:r>
        <w:rPr>
          <w:rFonts w:ascii="Calibri" w:hAnsi="Calibri"/>
          <w:sz w:val="18"/>
        </w:rPr>
        <w:t xml:space="preserve"> Autenticación individual nominal (cero cuentas compartidas), control RBAC y Registro de Actividades de Tratamiento de Datos Personales (Ley N° 29733). Razón: 520 trabajadores eventuales sin re</w:t>
      </w:r>
      <w:r>
        <w:rPr>
          <w:rFonts w:ascii="Calibri" w:hAnsi="Calibri"/>
          <w:sz w:val="18"/>
        </w:rPr>
        <w:t>gistro formal.</w:t>
      </w:r>
    </w:p>
    <w:p w:rsidR="00BF4C4C" w:rsidRDefault="00EB0427">
      <w:pPr>
        <w:pStyle w:val="Compact"/>
        <w:ind w:left="360"/>
      </w:pPr>
      <w:r>
        <w:rPr>
          <w:rFonts w:ascii="Calibri" w:hAnsi="Calibri"/>
          <w:b/>
          <w:sz w:val="18"/>
        </w:rPr>
        <w:t>Principio 6 · Soluciones estándar antes que desarrollos propios frágiles:</w:t>
      </w:r>
      <w:r>
        <w:rPr>
          <w:rFonts w:ascii="Calibri" w:hAnsi="Calibri"/>
          <w:sz w:val="18"/>
        </w:rPr>
        <w:t xml:space="preserve"> Priorización de módulos comerciales del ERP con soporte oficial. Razón: el sistema crítico de trazabilidad descansaba en un Access 2014 artesanal sin soporte desde hac</w:t>
      </w:r>
      <w:r>
        <w:rPr>
          <w:rFonts w:ascii="Calibri" w:hAnsi="Calibri"/>
          <w:sz w:val="18"/>
        </w:rPr>
        <w:t>e una década.</w:t>
      </w:r>
    </w:p>
    <w:p w:rsidR="00BF4C4C" w:rsidRDefault="00EB0427">
      <w:pPr>
        <w:pStyle w:val="Ttulo2"/>
        <w:spacing w:after="80"/>
      </w:pPr>
      <w:bookmarkStart w:id="12" w:name="_Toc242976724"/>
      <w:r>
        <w:rPr>
          <w:rFonts w:ascii="Calibri" w:hAnsi="Calibri"/>
          <w:color w:val="1F4E79"/>
        </w:rPr>
        <w:t>Paso B — Modelar la arquitectura actual (As-Is)</w:t>
      </w:r>
      <w:bookmarkEnd w:id="12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Qué se buscaba: </w:t>
      </w:r>
      <w:r>
        <w:rPr>
          <w:rFonts w:ascii="Calibri" w:hAnsi="Calibri"/>
          <w:color w:val="334155"/>
          <w:sz w:val="20"/>
        </w:rPr>
        <w:t>Modelar integralmente la situación tecnológica actual de Agroexportadora Valle Viejo S.A.C. en sus tres capas (Negocio, Aplicación y Tecnología), evidenciando las hojas de cálc</w:t>
      </w:r>
      <w:r>
        <w:rPr>
          <w:rFonts w:ascii="Calibri" w:hAnsi="Calibri"/>
          <w:color w:val="334155"/>
          <w:sz w:val="20"/>
        </w:rPr>
        <w:t>ulo operativas, la estructura de la información y la matriz de cooperación proceso-aplicación.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Comando o acción: </w:t>
      </w:r>
      <w:r>
        <w:rPr>
          <w:rFonts w:ascii="Calibri" w:hAnsi="Calibri"/>
          <w:color w:val="334155"/>
          <w:sz w:val="20"/>
        </w:rPr>
        <w:t>Análisis del inventario 'arquitectura-actual.md', estructuración de '05_arquitectura/AR02_entidades.csv' y modelado del archivo formal ArchiM</w:t>
      </w:r>
      <w:r>
        <w:rPr>
          <w:rFonts w:ascii="Calibri" w:hAnsi="Calibri"/>
          <w:color w:val="334155"/>
          <w:sz w:val="20"/>
        </w:rPr>
        <w:t>ate 'anexos/anexo_A_modelo_arquitectura.archimate'. Enlace: https://github.com/GianfrancoArocutipa/Taller10_Empresa_01_Exportadora/tree/taller-10/05_arquitectura/AR02_entidades.csv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Evidencia de que funcionó: </w:t>
      </w:r>
      <w:r>
        <w:rPr>
          <w:rFonts w:ascii="Calibri" w:hAnsi="Calibri"/>
          <w:color w:val="334155"/>
          <w:sz w:val="20"/>
        </w:rPr>
        <w:t xml:space="preserve">Modelado riguroso de las capas y componentes </w:t>
      </w:r>
      <w:r>
        <w:rPr>
          <w:rFonts w:ascii="Calibri" w:hAnsi="Calibri"/>
          <w:color w:val="334155"/>
          <w:sz w:val="20"/>
        </w:rPr>
        <w:t>de la organización:</w:t>
      </w:r>
    </w:p>
    <w:p w:rsidR="00BF4C4C" w:rsidRDefault="00EB0427">
      <w:pPr>
        <w:spacing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B.1 Capa de Negocio: </w:t>
      </w:r>
      <w:r>
        <w:rPr>
          <w:rFonts w:ascii="Calibri" w:hAnsi="Calibri"/>
          <w:color w:val="334155"/>
          <w:sz w:val="20"/>
        </w:rPr>
        <w:t>• Capa de Negocio: Se modelaron los 6 procesos de la cadena de valor (Recepción y pesaje, Proceso y envasado, Control de calidad y trazabilidad, Exportación, Compras a productores y Gestión de riego), los actores (P</w:t>
      </w:r>
      <w:r>
        <w:rPr>
          <w:rFonts w:ascii="Calibri" w:hAnsi="Calibri"/>
          <w:color w:val="334155"/>
          <w:sz w:val="20"/>
        </w:rPr>
        <w:t>roductores, Operarios, Responsable de calidad, SENASA) y servicios de negocio.</w:t>
      </w:r>
    </w:p>
    <w:p w:rsidR="00BF4C4C" w:rsidRDefault="00EB0427">
      <w:pPr>
        <w:spacing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B.2 Capa de Aplicación: </w:t>
      </w:r>
      <w:r>
        <w:rPr>
          <w:rFonts w:ascii="Calibri" w:hAnsi="Calibri"/>
          <w:color w:val="334155"/>
          <w:sz w:val="20"/>
        </w:rPr>
        <w:t>• Capa de Aplicación: Se modelaron los sistemas formales (ERP comercial, Access 2014 sin soporte, software de balanza, consola web de riego y SaaS de pla</w:t>
      </w:r>
      <w:r>
        <w:rPr>
          <w:rFonts w:ascii="Calibri" w:hAnsi="Calibri"/>
          <w:color w:val="334155"/>
          <w:sz w:val="20"/>
        </w:rPr>
        <w:t>nillas). Siguiendo las directrices del taller, se modelaron obligatoriamente como componentes de aplicación las 3 hojas de cálculo críticas: 1) Trazabilidad por lote (Excel de campaña en planta), 2) Costo por tonelada (Excel de Finanzas), y 3) Programación</w:t>
      </w:r>
      <w:r>
        <w:rPr>
          <w:rFonts w:ascii="Calibri" w:hAnsi="Calibri"/>
          <w:color w:val="334155"/>
          <w:sz w:val="20"/>
        </w:rPr>
        <w:t xml:space="preserve"> de riego (Excel de campo). Omitirlas hubiera generado un modelo ficticio.</w:t>
      </w:r>
    </w:p>
    <w:p w:rsidR="00BF4C4C" w:rsidRDefault="00EB0427">
      <w:pPr>
        <w:spacing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B.3 Capa de Tecnología: </w:t>
      </w:r>
      <w:r>
        <w:rPr>
          <w:rFonts w:ascii="Calibri" w:hAnsi="Calibri"/>
          <w:color w:val="334155"/>
          <w:sz w:val="20"/>
        </w:rPr>
        <w:t>• Capa de Tecnología: Se modeló el servidor único on-premise del ERP (con UPS de solo 10 min), la PC de balanza sin conexión de red, la PC de planta en ambie</w:t>
      </w:r>
      <w:r>
        <w:rPr>
          <w:rFonts w:ascii="Calibri" w:hAnsi="Calibri"/>
          <w:color w:val="334155"/>
          <w:sz w:val="20"/>
        </w:rPr>
        <w:t>nte corrosivo, la red LAN plana de oficina sin segmentación y el enlace inalámbrico monoproveedor.</w:t>
      </w:r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>B.4 Vista de Cooperación Proceso-Aplicación:</w:t>
      </w:r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>La siguiente matriz resume la cobertura real de los sistemas frente a los procesos de negocio, evidenciando un e</w:t>
      </w:r>
      <w:r>
        <w:rPr>
          <w:rFonts w:ascii="Calibri" w:hAnsi="Calibri"/>
          <w:color w:val="334155"/>
          <w:sz w:val="20"/>
        </w:rPr>
        <w:t>stado crítico en la organización: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1296"/>
        <w:gridCol w:w="2304"/>
      </w:tblGrid>
      <w:tr w:rsidR="00BF4C4C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Proceso de Negocio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Sistema de Soporte Actual</w:t>
            </w:r>
          </w:p>
        </w:tc>
        <w:tc>
          <w:tcPr>
            <w:tcW w:w="129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w="230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Diagnóstico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Recepción y pesaje de materia prima</w:t>
            </w:r>
          </w:p>
        </w:tc>
        <w:tc>
          <w:tcPr>
            <w:tcW w:w="31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Software Balanza (PC aislada sin red) + Digitación manual en ERP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C0392B"/>
                <w:sz w:val="16"/>
              </w:rPr>
              <w:t>✗</w:t>
            </w:r>
            <w:r>
              <w:rPr>
                <w:rFonts w:ascii="Calibri" w:hAnsi="Calibri"/>
                <w:b/>
                <w:color w:val="C0392B"/>
                <w:sz w:val="16"/>
              </w:rPr>
              <w:t xml:space="preserve"> Deficiente</w:t>
            </w:r>
          </w:p>
        </w:tc>
        <w:tc>
          <w:tcPr>
            <w:tcW w:w="2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Cálculo diferido; transcripción al día </w:t>
            </w:r>
            <w:r>
              <w:rPr>
                <w:rFonts w:ascii="Calibri" w:hAnsi="Calibri"/>
                <w:sz w:val="16"/>
              </w:rPr>
              <w:t>siguiente en papel.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Proceso y envasado de aceituna</w:t>
            </w:r>
          </w:p>
        </w:tc>
        <w:tc>
          <w:tcPr>
            <w:tcW w:w="31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Access 2014 (Desarrollo artesanal) + Hojas de cálculo locales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C0392B"/>
                <w:sz w:val="16"/>
              </w:rPr>
              <w:t>✗</w:t>
            </w:r>
            <w:r>
              <w:rPr>
                <w:rFonts w:ascii="Calibri" w:hAnsi="Calibri"/>
                <w:b/>
                <w:color w:val="C0392B"/>
                <w:sz w:val="16"/>
              </w:rPr>
              <w:t xml:space="preserve"> Deficiente</w:t>
            </w:r>
          </w:p>
        </w:tc>
        <w:tc>
          <w:tcPr>
            <w:tcW w:w="2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Sin soporte ni mantenimiento; riesgo severo de corrupción.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Control de calidad y trazabilidad</w:t>
            </w:r>
          </w:p>
        </w:tc>
        <w:tc>
          <w:tcPr>
            <w:tcW w:w="31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Access 2014 + Hoja de cálculo de </w:t>
            </w:r>
            <w:r>
              <w:rPr>
                <w:rFonts w:ascii="Calibri" w:hAnsi="Calibri"/>
                <w:sz w:val="16"/>
              </w:rPr>
              <w:t>campaña en planta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C0392B"/>
                <w:sz w:val="16"/>
              </w:rPr>
              <w:t>✗</w:t>
            </w:r>
            <w:r>
              <w:rPr>
                <w:rFonts w:ascii="Calibri" w:hAnsi="Calibri"/>
                <w:b/>
                <w:color w:val="C0392B"/>
                <w:sz w:val="16"/>
              </w:rPr>
              <w:t xml:space="preserve"> Deficiente</w:t>
            </w:r>
          </w:p>
        </w:tc>
        <w:tc>
          <w:tcPr>
            <w:tcW w:w="2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Reconstrucción manual de 11 días; incumplimiento SENASA.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Exportación y trámites aduaneros</w:t>
            </w:r>
          </w:p>
        </w:tc>
        <w:tc>
          <w:tcPr>
            <w:tcW w:w="31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ERP Comercial (Ventas/Almacén) + </w:t>
            </w:r>
            <w:r>
              <w:rPr>
                <w:rFonts w:ascii="Calibri" w:hAnsi="Calibri"/>
                <w:sz w:val="16"/>
              </w:rPr>
              <w:lastRenderedPageBreak/>
              <w:t>Documentos aduana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B48214"/>
                <w:sz w:val="16"/>
              </w:rPr>
              <w:lastRenderedPageBreak/>
              <w:t>~ Parcial</w:t>
            </w:r>
          </w:p>
        </w:tc>
        <w:tc>
          <w:tcPr>
            <w:tcW w:w="2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No valida lotes en tiempo real; </w:t>
            </w:r>
            <w:r>
              <w:rPr>
                <w:rFonts w:ascii="Calibri" w:hAnsi="Calibri"/>
                <w:sz w:val="16"/>
              </w:rPr>
              <w:lastRenderedPageBreak/>
              <w:t>acuerdos en correos.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lastRenderedPageBreak/>
              <w:t>Compras a productor</w:t>
            </w:r>
            <w:r>
              <w:rPr>
                <w:rFonts w:ascii="Calibri" w:hAnsi="Calibri"/>
                <w:b/>
                <w:sz w:val="16"/>
              </w:rPr>
              <w:t>es asociados</w:t>
            </w:r>
          </w:p>
        </w:tc>
        <w:tc>
          <w:tcPr>
            <w:tcW w:w="31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ERP Comercial (Compras) + Contratos papel + Excel campo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B48214"/>
                <w:sz w:val="16"/>
              </w:rPr>
              <w:t>~ Parcial</w:t>
            </w:r>
          </w:p>
        </w:tc>
        <w:tc>
          <w:tcPr>
            <w:tcW w:w="2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32 productores agrícolas operan al margen del ERP.</w:t>
            </w:r>
          </w:p>
        </w:tc>
      </w:tr>
      <w:tr w:rsidR="00BF4C4C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Gestión de riego y campo</w:t>
            </w:r>
          </w:p>
        </w:tc>
        <w:tc>
          <w:tcPr>
            <w:tcW w:w="31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Consola Web Proveedor (Nube cerrada) + Excel campo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B48214"/>
                <w:sz w:val="16"/>
              </w:rPr>
              <w:t>~ Parcial</w:t>
            </w:r>
          </w:p>
        </w:tc>
        <w:tc>
          <w:tcPr>
            <w:tcW w:w="2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Telemetría aislada sin exportación ni </w:t>
            </w:r>
            <w:r>
              <w:rPr>
                <w:rFonts w:ascii="Calibri" w:hAnsi="Calibri"/>
                <w:sz w:val="16"/>
              </w:rPr>
              <w:t>integración con ERP.</w:t>
            </w:r>
          </w:p>
        </w:tc>
      </w:tr>
    </w:tbl>
    <w:p w:rsidR="00BF4C4C" w:rsidRDefault="00EB0427">
      <w:pPr>
        <w:spacing w:after="80" w:line="276" w:lineRule="auto"/>
      </w:pPr>
      <w:r>
        <w:rPr>
          <w:rFonts w:ascii="Calibri" w:hAnsi="Calibri"/>
          <w:i/>
          <w:color w:val="334155"/>
          <w:sz w:val="20"/>
        </w:rPr>
        <w:t>Resultado cuantitativo: 3 de 6 procesos (50%) en nivel Deficiente y 3 de 6 procesos (50%) en nivel Parcial. 0% de procesos con soporte Bueno.</w:t>
      </w:r>
    </w:p>
    <w:p w:rsidR="00BF4C4C" w:rsidRDefault="00BF4C4C">
      <w:pPr>
        <w:jc w:val="center"/>
      </w:pPr>
    </w:p>
    <w:p w:rsidR="00BF4C4C" w:rsidRDefault="00EB0427">
      <w:r>
        <w:rPr>
          <w:noProof/>
        </w:rPr>
        <w:drawing>
          <wp:inline distT="0" distB="0" distL="0" distR="0">
            <wp:extent cx="5669280" cy="3287230"/>
            <wp:effectExtent l="0" t="0" r="0" b="0"/>
            <wp:docPr id="1391959142" name="Picture 1391959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_cooper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4C" w:rsidRDefault="00EB0427">
      <w:pPr>
        <w:pStyle w:val="ImageCaption"/>
        <w:jc w:val="center"/>
      </w:pPr>
      <w:r>
        <w:t>Figura 1. Vista de cooperación proceso-aplicación de la arquitectura actual (As-Is).</w:t>
      </w:r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 xml:space="preserve">B.5 </w:t>
      </w:r>
      <w:r>
        <w:rPr>
          <w:rFonts w:ascii="Calibri" w:hAnsi="Calibri"/>
          <w:color w:val="334155"/>
          <w:sz w:val="20"/>
        </w:rPr>
        <w:t>Estructura de la Información (Catálogo de Entidades de Datos):</w:t>
      </w:r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>Se construyó la matriz de información en '05_arquitectura/AR02_entidades.csv'. A continuación se presenta el diagnóstico consolidado: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440"/>
        <w:gridCol w:w="1296"/>
        <w:gridCol w:w="1008"/>
        <w:gridCol w:w="1152"/>
        <w:gridCol w:w="1872"/>
        <w:gridCol w:w="864"/>
        <w:gridCol w:w="864"/>
      </w:tblGrid>
      <w:tr w:rsidR="00BF4C4C">
        <w:trPr>
          <w:jc w:val="center"/>
        </w:trPr>
        <w:tc>
          <w:tcPr>
            <w:tcW w:w="115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Entidad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Sistemas</w:t>
            </w:r>
          </w:p>
        </w:tc>
        <w:tc>
          <w:tcPr>
            <w:tcW w:w="129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Registros</w:t>
            </w:r>
          </w:p>
        </w:tc>
        <w:tc>
          <w:tcPr>
            <w:tcW w:w="100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Fuente Aut.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Dueño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Discrepancia</w:t>
            </w:r>
          </w:p>
        </w:tc>
        <w:tc>
          <w:tcPr>
            <w:tcW w:w="86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Clasif.</w:t>
            </w:r>
          </w:p>
        </w:tc>
        <w:tc>
          <w:tcPr>
            <w:tcW w:w="86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Datos Pers.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5"/>
              </w:rPr>
              <w:t>Lote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Access, ERP Almacén, Balanza, Excel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2 300 / 410 / 9 800 / 22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Ninguna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Ninguno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Kilos por lote difieren hasta 6% entre sistemas.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Interna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No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5"/>
              </w:rPr>
              <w:t>Productor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ERP Proveedores, Excel campo, Papel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71 / 210 / 180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ERP (incompleta)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Jefe Compras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32 productores del campo no existen en ERP.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Confidencial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Sí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5"/>
              </w:rPr>
              <w:t>Trabajador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SaaS Planillas, ERP, Asistencia papel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142 / 97 / 520 campaña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SaaS Planillas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Administración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520 trabajadores de campaña sin registro.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Restringida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Sí (sensibles)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5"/>
              </w:rPr>
              <w:t>Cliente ext.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 xml:space="preserve">ERP </w:t>
            </w:r>
            <w:r>
              <w:rPr>
                <w:rFonts w:ascii="Calibri" w:hAnsi="Calibri"/>
                <w:sz w:val="15"/>
              </w:rPr>
              <w:t xml:space="preserve">Ventas, Correo, </w:t>
            </w:r>
            <w:r>
              <w:rPr>
                <w:rFonts w:ascii="Calibri" w:hAnsi="Calibri"/>
                <w:sz w:val="15"/>
              </w:rPr>
              <w:lastRenderedPageBreak/>
              <w:t>Documentos aduana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lastRenderedPageBreak/>
              <w:t>14 / — / 22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ERP Ventas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Gerencia Gral.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 xml:space="preserve">Condiciones comerciales </w:t>
            </w:r>
            <w:r>
              <w:rPr>
                <w:rFonts w:ascii="Calibri" w:hAnsi="Calibri"/>
                <w:sz w:val="15"/>
              </w:rPr>
              <w:lastRenderedPageBreak/>
              <w:t>residen en correos.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lastRenderedPageBreak/>
              <w:t>Confidenci</w:t>
            </w:r>
            <w:r>
              <w:rPr>
                <w:rFonts w:ascii="Calibri" w:hAnsi="Calibri"/>
                <w:sz w:val="15"/>
              </w:rPr>
              <w:lastRenderedPageBreak/>
              <w:t>al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lastRenderedPageBreak/>
              <w:t xml:space="preserve">Sí </w:t>
            </w:r>
            <w:r>
              <w:rPr>
                <w:rFonts w:ascii="Calibri" w:hAnsi="Calibri"/>
                <w:sz w:val="15"/>
              </w:rPr>
              <w:lastRenderedPageBreak/>
              <w:t>(contacto)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5"/>
              </w:rPr>
              <w:lastRenderedPageBreak/>
              <w:t>Pesaje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Balanza PC, Hojas papel, ERP Compras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9 800 / 9 800 / 9 150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Ninguna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Ninguno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 xml:space="preserve">650 pesajes de balanza sin </w:t>
            </w:r>
            <w:r>
              <w:rPr>
                <w:rFonts w:ascii="Calibri" w:hAnsi="Calibri"/>
                <w:sz w:val="15"/>
              </w:rPr>
              <w:t>transcripción a ERP.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Interna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No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5"/>
              </w:rPr>
              <w:t>Costo/Tn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Excel Finanzas, ERP Contab., Planta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1 libro / Cuentas / Notas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Ninguna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Ninguno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Mermas en Excel no concilian con contabilidad.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Confidencial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No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5"/>
              </w:rPr>
              <w:t>Riego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Consola web fertirriego, Excel campo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48 sectores / 1 libro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Ninguna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Ninguno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Volumen de agua/fertilizante difiere del sistema web.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Interna</w:t>
            </w:r>
          </w:p>
        </w:tc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5"/>
              </w:rPr>
              <w:t>No</w:t>
            </w:r>
          </w:p>
        </w:tc>
      </w:tr>
    </w:tbl>
    <w:p w:rsidR="00BF4C4C" w:rsidRDefault="00EB0427">
      <w:pPr>
        <w:spacing w:after="80" w:line="276" w:lineRule="auto"/>
      </w:pPr>
      <w:r>
        <w:rPr>
          <w:rFonts w:ascii="Calibri" w:hAnsi="Calibri"/>
          <w:i/>
          <w:color w:val="334155"/>
          <w:sz w:val="20"/>
        </w:rPr>
        <w:t>Métricas clave de la capa de datos: 5 de 7 entidades (71.4%) carecen de fuente autoritativa única y 5 de 7 entidades (71.4%) no tienen un dueño asignado formalmente por cargo. Asimi</w:t>
      </w:r>
      <w:r>
        <w:rPr>
          <w:rFonts w:ascii="Calibri" w:hAnsi="Calibri"/>
          <w:i/>
          <w:color w:val="334155"/>
          <w:sz w:val="20"/>
        </w:rPr>
        <w:t>smo, el 100% de los datos personales de trabajadores de campaña se manejan de manera informal sin medidas de la Ley N° 29733.</w:t>
      </w:r>
    </w:p>
    <w:p w:rsidR="00BF4C4C" w:rsidRDefault="00BF4C4C">
      <w:pPr>
        <w:jc w:val="center"/>
      </w:pPr>
    </w:p>
    <w:p w:rsidR="00BF4C4C" w:rsidRDefault="00EB0427">
      <w:r>
        <w:rPr>
          <w:noProof/>
        </w:rPr>
        <w:drawing>
          <wp:inline distT="0" distB="0" distL="0" distR="0">
            <wp:extent cx="5669280" cy="3911364"/>
            <wp:effectExtent l="0" t="0" r="0" b="0"/>
            <wp:docPr id="1391959143" name="Picture 1391959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_actual_3cap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4C" w:rsidRDefault="00EB0427">
      <w:pPr>
        <w:pStyle w:val="ImageCaption"/>
        <w:jc w:val="center"/>
      </w:pPr>
      <w:r>
        <w:t>Figura 2. Modelo de la arquitectura actual (As-Is) en tres capas con hojas de cálculo operativas.</w:t>
      </w:r>
    </w:p>
    <w:p w:rsidR="00BF4C4C" w:rsidRDefault="00EB0427">
      <w:pPr>
        <w:pStyle w:val="Ttulo2"/>
        <w:spacing w:after="80"/>
      </w:pPr>
      <w:bookmarkStart w:id="13" w:name="_Toc242976725"/>
      <w:r>
        <w:rPr>
          <w:rFonts w:ascii="Calibri" w:hAnsi="Calibri"/>
          <w:color w:val="1F4E79"/>
        </w:rPr>
        <w:t xml:space="preserve">Paso C — Modelar la </w:t>
      </w:r>
      <w:r>
        <w:rPr>
          <w:rFonts w:ascii="Calibri" w:hAnsi="Calibri"/>
          <w:color w:val="1F4E79"/>
        </w:rPr>
        <w:t>arquitectura objetivo (To-Be)</w:t>
      </w:r>
      <w:bookmarkEnd w:id="13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Qué se buscaba: </w:t>
      </w:r>
      <w:r>
        <w:rPr>
          <w:rFonts w:ascii="Calibri" w:hAnsi="Calibri"/>
          <w:color w:val="334155"/>
          <w:sz w:val="20"/>
        </w:rPr>
        <w:t>Diseñar la arquitectura futura (To-Be) derivándola estrictamente de la visión institucional, los objetivos de TI, las capacidades requeridas y las estrategias del FODA cruzado.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Comando o acción: </w:t>
      </w:r>
      <w:r>
        <w:rPr>
          <w:rFonts w:ascii="Calibri" w:hAnsi="Calibri"/>
          <w:color w:val="334155"/>
          <w:sz w:val="20"/>
        </w:rPr>
        <w:t>Construcció</w:t>
      </w:r>
      <w:r>
        <w:rPr>
          <w:rFonts w:ascii="Calibri" w:hAnsi="Calibri"/>
          <w:color w:val="334155"/>
          <w:sz w:val="20"/>
        </w:rPr>
        <w:t>n de la matriz de cambios por capa y modelado del estado objetivo en ArchiMate 3.2, documentado en '05_seccion_arquitectura.md'.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Evidencia de que funcionó: </w:t>
      </w:r>
      <w:r>
        <w:rPr>
          <w:rFonts w:ascii="Calibri" w:hAnsi="Calibri"/>
          <w:color w:val="334155"/>
          <w:sz w:val="20"/>
        </w:rPr>
        <w:t>Derivación trazada y especificación de cambios estructurales:</w:t>
      </w:r>
    </w:p>
    <w:p w:rsidR="00BF4C4C" w:rsidRDefault="00EB0427">
      <w:pPr>
        <w:spacing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C.1 Derivación: </w:t>
      </w:r>
      <w:r>
        <w:rPr>
          <w:rFonts w:ascii="Calibri" w:hAnsi="Calibri"/>
          <w:color w:val="334155"/>
          <w:sz w:val="20"/>
        </w:rPr>
        <w:t xml:space="preserve">• Derivación </w:t>
      </w:r>
      <w:r>
        <w:rPr>
          <w:rFonts w:ascii="Calibri" w:hAnsi="Calibri"/>
          <w:color w:val="334155"/>
          <w:sz w:val="20"/>
        </w:rPr>
        <w:t xml:space="preserve">Estratégica: El objetivo declarado de 'reducir el cierre de trazabilidad de 11 días a menos de 2 horas' exige reemplazar el Access 2014 y las hojas de cálculo por un Módulo de Trazabilidad y </w:t>
      </w:r>
      <w:r>
        <w:rPr>
          <w:rFonts w:ascii="Calibri" w:hAnsi="Calibri"/>
          <w:color w:val="334155"/>
          <w:sz w:val="20"/>
        </w:rPr>
        <w:lastRenderedPageBreak/>
        <w:t>Producción (MES) integrado nativamente al ERP. La exigencia de in</w:t>
      </w:r>
      <w:r>
        <w:rPr>
          <w:rFonts w:ascii="Calibri" w:hAnsi="Calibri"/>
          <w:color w:val="334155"/>
          <w:sz w:val="20"/>
        </w:rPr>
        <w:t>ocuidad SENASA y la Ley 29733 imponen la digitalización del padrón de productores y el registro de trabajadores.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3168"/>
        <w:gridCol w:w="1872"/>
      </w:tblGrid>
      <w:tr w:rsidR="00BF4C4C">
        <w:trPr>
          <w:jc w:val="center"/>
        </w:trPr>
        <w:tc>
          <w:tcPr>
            <w:tcW w:w="14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 Actual (As-Is)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 Objetivo (To-Be)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Origen del Cambio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Negocio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Toma de pesaje en papel y diferido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Recepción y pesaje automat</w:t>
            </w:r>
            <w:r>
              <w:rPr>
                <w:rFonts w:ascii="Calibri" w:hAnsi="Calibri"/>
                <w:sz w:val="16"/>
              </w:rPr>
              <w:t>izado con sensores IoT y escáner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Visión del PETI (Sección 2.2)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Negocio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Trazabilidad manual armada en 11 días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Trazabilidad digital inmediata 'Field-to-Fork' (&lt; 2 horas)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Exigencia SENASA y clientes UE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Datos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Lote en 4 sistemas disjuntos (6% desvío)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Maestro </w:t>
            </w:r>
            <w:r>
              <w:rPr>
                <w:rFonts w:ascii="Calibri" w:hAnsi="Calibri"/>
                <w:sz w:val="16"/>
              </w:rPr>
              <w:t>Único de Lotes en ERP como fuente autoritativa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Principio 1 (Dato único con dueño)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Datos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32 productores asociados fuera del ERP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Padrón unificado de productores integrado al módulo de compras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Control fiscal y Principio 1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Datos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520 trabajadores de campaña s</w:t>
            </w:r>
            <w:r>
              <w:rPr>
                <w:rFonts w:ascii="Calibri" w:hAnsi="Calibri"/>
                <w:sz w:val="16"/>
              </w:rPr>
              <w:t>in registro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Registro automatizado de personal y cumplimiento Ley 29733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Sección 4.1 (Obligación ANPD)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Aplicación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Access 2014 sin soporte y Excel en planta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Módulo Integrado de Trazabilidad y Producción (MES) en ERP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Principio 6 e Incidente 2024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Aplicación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Balanza en PC aislada con transcripción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Integración automática de balanza con ERP vía API REST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Principio 3 (Cero digitación diferida)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Aplicación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Costeo por tonelada en Excel de Finanzas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Módulo de costeo estándar automático en ERP contable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Estrategia E-03 </w:t>
            </w:r>
            <w:r>
              <w:rPr>
                <w:rFonts w:ascii="Calibri" w:hAnsi="Calibri"/>
                <w:sz w:val="16"/>
              </w:rPr>
              <w:t>(Control de rentabilidad)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Aplicación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Consola de fertirriego sin integración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Conector de telemetría de campo al ERP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Principio 3 y Eficiencia hídrica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Tecnología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Servidor único con UPS de 10 minutos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Infraestructura híbrida con RAID y réplica inmutable en nu</w:t>
            </w:r>
            <w:r>
              <w:rPr>
                <w:rFonts w:ascii="Calibri" w:hAnsi="Calibri"/>
                <w:sz w:val="16"/>
              </w:rPr>
              <w:t>be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Principio 4 y COBIT DSS04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Tecnología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PC de planta en ambiente corrosivo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Terminales industriales rugerizados IP65 centralizados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Mitigación del incidente 2024</w:t>
            </w:r>
          </w:p>
        </w:tc>
      </w:tr>
      <w:tr w:rsidR="00BF4C4C">
        <w:trPr>
          <w:jc w:val="center"/>
        </w:trPr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Tecnología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Red plana y enlace monoproveedor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VLANs segmentadas (Planta/Oficina/DMZ) y enlace </w:t>
            </w:r>
            <w:r>
              <w:rPr>
                <w:rFonts w:ascii="Calibri" w:hAnsi="Calibri"/>
                <w:sz w:val="16"/>
              </w:rPr>
              <w:t>redundante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COBIT DSS05 (Seguridad perimetral)</w:t>
            </w:r>
          </w:p>
        </w:tc>
      </w:tr>
    </w:tbl>
    <w:p w:rsidR="00BF4C4C" w:rsidRDefault="00BF4C4C">
      <w:pPr>
        <w:jc w:val="center"/>
      </w:pPr>
    </w:p>
    <w:p w:rsidR="00BF4C4C" w:rsidRDefault="00EB0427">
      <w:r>
        <w:rPr>
          <w:noProof/>
        </w:rPr>
        <w:lastRenderedPageBreak/>
        <w:drawing>
          <wp:inline distT="0" distB="0" distL="0" distR="0">
            <wp:extent cx="5669280" cy="3911364"/>
            <wp:effectExtent l="0" t="0" r="0" b="0"/>
            <wp:docPr id="1391959144" name="Picture 1391959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_obje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4C" w:rsidRDefault="00EB0427">
      <w:pPr>
        <w:pStyle w:val="ImageCaption"/>
        <w:jc w:val="center"/>
      </w:pPr>
      <w:r>
        <w:t>Figura 3. Modelo de la arquitectura objetivo (To-Be) en tres capas con integración de servicios y nube híbrida.</w:t>
      </w:r>
    </w:p>
    <w:p w:rsidR="00BF4C4C" w:rsidRDefault="00EB0427">
      <w:pPr>
        <w:pStyle w:val="Ttulo2"/>
        <w:spacing w:after="80"/>
      </w:pPr>
      <w:bookmarkStart w:id="14" w:name="_Toc242976726"/>
      <w:r>
        <w:rPr>
          <w:rFonts w:ascii="Calibri" w:hAnsi="Calibri"/>
          <w:color w:val="1F4E79"/>
        </w:rPr>
        <w:t>Paso D — Análisis de brechas y paquetes de trabajo</w:t>
      </w:r>
      <w:bookmarkEnd w:id="14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Qué se buscaba: </w:t>
      </w:r>
      <w:r>
        <w:rPr>
          <w:rFonts w:ascii="Calibri" w:hAnsi="Calibri"/>
          <w:color w:val="334155"/>
          <w:sz w:val="20"/>
        </w:rPr>
        <w:t xml:space="preserve">Identificar la totalidad </w:t>
      </w:r>
      <w:r>
        <w:rPr>
          <w:rFonts w:ascii="Calibri" w:hAnsi="Calibri"/>
          <w:color w:val="334155"/>
          <w:sz w:val="20"/>
        </w:rPr>
        <w:t>de brechas entre el estado actual y el objetivo, clasificarlas por capa y tipo, calcular el esfuerzo técnico y derivar los paquetes de trabajo respetando su secuencia lógica obligada.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Comando o acción: </w:t>
      </w:r>
      <w:r>
        <w:rPr>
          <w:rFonts w:ascii="Calibri" w:hAnsi="Calibri"/>
          <w:color w:val="334155"/>
          <w:sz w:val="20"/>
        </w:rPr>
        <w:t>Ejecución automatizada del script en Python '05_arqu</w:t>
      </w:r>
      <w:r>
        <w:rPr>
          <w:rFonts w:ascii="Calibri" w:hAnsi="Calibri"/>
          <w:color w:val="334155"/>
          <w:sz w:val="20"/>
        </w:rPr>
        <w:t>itectura/AR03_brechas.py', generando el dataset '05_arquitectura/AR03_brechas.csv' y el registro en 'docs/evidencias/S10/salidas/salida_brechas.txt'. Enlace: https://github.com/GianfrancoArocutipa/Taller10_Empresa_01_Exportadora/tree/taller-10/05_arquitect</w:t>
      </w:r>
      <w:r>
        <w:rPr>
          <w:rFonts w:ascii="Calibri" w:hAnsi="Calibri"/>
          <w:color w:val="334155"/>
          <w:sz w:val="20"/>
        </w:rPr>
        <w:t>ura/AR03_brechas.py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Evidencia de que funcionó: </w:t>
      </w:r>
      <w:r>
        <w:rPr>
          <w:rFonts w:ascii="Calibri" w:hAnsi="Calibri"/>
          <w:color w:val="334155"/>
          <w:sz w:val="20"/>
        </w:rPr>
        <w:t>Se detectaron 13 brechas arquitectónicas consolidadas en seis paquetes de trabajo prioritarios: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3024"/>
        <w:gridCol w:w="1152"/>
        <w:gridCol w:w="1584"/>
        <w:gridCol w:w="1008"/>
      </w:tblGrid>
      <w:tr w:rsidR="00BF4C4C">
        <w:trPr>
          <w:jc w:val="center"/>
        </w:trPr>
        <w:tc>
          <w:tcPr>
            <w:tcW w:w="115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Nombre del Proyecto</w:t>
            </w:r>
          </w:p>
        </w:tc>
        <w:tc>
          <w:tcPr>
            <w:tcW w:w="302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Brechas Relacionadas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Esfuerzo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Dependencias</w:t>
            </w:r>
          </w:p>
        </w:tc>
        <w:tc>
          <w:tcPr>
            <w:tcW w:w="100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PT-01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Gobierno y Calidad del Dato </w:t>
            </w:r>
            <w:r>
              <w:rPr>
                <w:rFonts w:ascii="Calibri" w:hAnsi="Calibri"/>
                <w:sz w:val="16"/>
              </w:rPr>
              <w:t>Maestro (MDM)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Lote disperso en 4 sistemas; 32 productores fuera de ERP; 520 trabajadores sin registro.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Alto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Ninguna (Habilitador)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Fase 1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PT-02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Sistema Integrado de Trazabilidad (MES)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Access 2014 sin soporte; Excel de campaña en planta; PC de planta en </w:t>
            </w:r>
            <w:r>
              <w:rPr>
                <w:rFonts w:ascii="Calibri" w:hAnsi="Calibri"/>
                <w:sz w:val="16"/>
              </w:rPr>
              <w:t>riesgo físico.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Alto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PT-01, PT-04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Fase 2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PT-03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Automatización de Pesaje y Telemetría Industrial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Balanza aislada con transcripción manual; Consola de riego aislada.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Medio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PT-04 (Redes)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Fase 2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PT-04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Infraestructura, Respaldo Inmutable y Continuidad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Servidor</w:t>
            </w:r>
            <w:r>
              <w:rPr>
                <w:rFonts w:ascii="Calibri" w:hAnsi="Calibri"/>
                <w:sz w:val="16"/>
              </w:rPr>
              <w:t xml:space="preserve"> único con UPS 10 min; Red plana y enlace monoproveedor.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Alto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Ninguna (Habilitador)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Fase 1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lastRenderedPageBreak/>
              <w:t>PT-05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Integración Financiera, Costeo y Nómina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Cálculo de costo/Tn en Excel de Finanzas; Integración por correo a planillas.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Medio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PT-01, PT-02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Fase 3</w:t>
            </w:r>
          </w:p>
        </w:tc>
      </w:tr>
      <w:tr w:rsidR="00BF4C4C">
        <w:trPr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PT-06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Gobierno de TI, Políticas y Protección de Datos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Sin Comité de TI ni políticas formalizadas; Cuentas de admin compartidas.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Bajo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Ninguna (Habilitador)</w:t>
            </w:r>
          </w:p>
        </w:tc>
        <w:tc>
          <w:tcPr>
            <w:tcW w:w="10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Fase 1</w:t>
            </w:r>
          </w:p>
        </w:tc>
      </w:tr>
    </w:tbl>
    <w:p w:rsidR="00BF4C4C" w:rsidRDefault="00EB0427">
      <w:pPr>
        <w:spacing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Justificación de la Secuencia: </w:t>
      </w:r>
      <w:r>
        <w:rPr>
          <w:rFonts w:ascii="Calibri" w:hAnsi="Calibri"/>
          <w:color w:val="334155"/>
          <w:sz w:val="20"/>
        </w:rPr>
        <w:t xml:space="preserve">Secuencia obligada determinada: La Fase 1 (PT-01, PT-04 y PT-06) </w:t>
      </w:r>
      <w:r>
        <w:rPr>
          <w:rFonts w:ascii="Calibri" w:hAnsi="Calibri"/>
          <w:color w:val="334155"/>
          <w:sz w:val="20"/>
        </w:rPr>
        <w:t>constituye la base habilitadora obligatoria. La Fase 2 (PT-02 y PT-03) no puede iniciar sin datos maestros saneados ni redes industriales operativas. Finalmente, la Fase 3 (PT-05) optimiza los costos una vez que la trazabilidad en planta está estabilizada.</w:t>
      </w:r>
    </w:p>
    <w:p w:rsidR="00BF4C4C" w:rsidRDefault="00EB0427">
      <w:pPr>
        <w:pStyle w:val="Ttulo2"/>
        <w:spacing w:after="80"/>
      </w:pPr>
      <w:bookmarkStart w:id="15" w:name="_Toc242976727"/>
      <w:r>
        <w:rPr>
          <w:rFonts w:ascii="Calibri" w:hAnsi="Calibri"/>
          <w:color w:val="1F4E79"/>
        </w:rPr>
        <w:t>Paso E — Vistas y redacción de la Sección 5 del PETI</w:t>
      </w:r>
      <w:bookmarkEnd w:id="15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Qué se buscaba: </w:t>
      </w:r>
      <w:r>
        <w:rPr>
          <w:rFonts w:ascii="Calibri" w:hAnsi="Calibri"/>
          <w:color w:val="334155"/>
          <w:sz w:val="20"/>
        </w:rPr>
        <w:t>Exportar las vistas formales en alta resolución y redactar formalmente la Sección 5 (Arquitectura Empresarial) del PETI para su incorporación en la versión v0.10 del plan institucional</w:t>
      </w:r>
      <w:r>
        <w:rPr>
          <w:rFonts w:ascii="Calibri" w:hAnsi="Calibri"/>
          <w:color w:val="334155"/>
          <w:sz w:val="20"/>
        </w:rPr>
        <w:t>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Comando o acción: </w:t>
      </w:r>
      <w:r>
        <w:rPr>
          <w:rFonts w:ascii="Calibri" w:hAnsi="Calibri"/>
          <w:color w:val="334155"/>
          <w:sz w:val="20"/>
        </w:rPr>
        <w:t>Redacción completa de 'docs/05_seccion_arquitectura.md' estructurada en cuatro subsecciones: 5.1 Principios, 5.2 Arquitectura actual, 5.3 Arquitectura objetivo y 5.4 Análisis de brechas. Enlace: https://github.com/GianfrancoArocutipa/</w:t>
      </w:r>
      <w:r>
        <w:rPr>
          <w:rFonts w:ascii="Calibri" w:hAnsi="Calibri"/>
          <w:color w:val="334155"/>
          <w:sz w:val="20"/>
        </w:rPr>
        <w:t>Taller10_Empresa_01_Exportadora/tree/taller-10/docs/05_seccion_arquitectura.md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Evidencia de que funcionó: </w:t>
      </w:r>
      <w:r>
        <w:rPr>
          <w:rFonts w:ascii="Calibri" w:hAnsi="Calibri"/>
          <w:color w:val="334155"/>
          <w:sz w:val="20"/>
        </w:rPr>
        <w:t>Sección 5 redactada íntegramente cumpliendo la numeración estándar y consolidando el diagnóstico, los modelos y la hoja de ruta preliminar.</w:t>
      </w:r>
    </w:p>
    <w:p w:rsidR="00BF4C4C" w:rsidRDefault="00EB0427">
      <w:pPr>
        <w:pStyle w:val="Ttulo2"/>
        <w:spacing w:after="80"/>
      </w:pPr>
      <w:bookmarkStart w:id="16" w:name="_Toc242976728"/>
      <w:r>
        <w:rPr>
          <w:rFonts w:ascii="Calibri" w:hAnsi="Calibri"/>
          <w:color w:val="1F4E79"/>
        </w:rPr>
        <w:t>Paso F —</w:t>
      </w:r>
      <w:r>
        <w:rPr>
          <w:rFonts w:ascii="Calibri" w:hAnsi="Calibri"/>
          <w:color w:val="1F4E79"/>
        </w:rPr>
        <w:t xml:space="preserve"> Validar y corregir</w:t>
      </w:r>
      <w:bookmarkEnd w:id="16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Qué se buscaba: </w:t>
      </w:r>
      <w:r>
        <w:rPr>
          <w:rFonts w:ascii="Calibri" w:hAnsi="Calibri"/>
          <w:color w:val="334155"/>
          <w:sz w:val="20"/>
        </w:rPr>
        <w:t>Someter los artefactos producidos a las tres comprobaciones obligatorias de calidad antes de cerrar la sesión de laboratorio, registrando el resultado en 'docs/evidencias/S10/salidas/validaciones.txt'.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>Comando o acci</w:t>
      </w:r>
      <w:r>
        <w:rPr>
          <w:rFonts w:ascii="Calibri" w:hAnsi="Calibri"/>
          <w:b/>
          <w:color w:val="0F172A"/>
          <w:sz w:val="20"/>
        </w:rPr>
        <w:t xml:space="preserve">ón: </w:t>
      </w:r>
      <w:r>
        <w:rPr>
          <w:rFonts w:ascii="Calibri" w:hAnsi="Calibri"/>
          <w:color w:val="334155"/>
          <w:sz w:val="20"/>
        </w:rPr>
        <w:t>Auditoría cruzada del modelo ArchiMate frente al inventario real y verificación de relaciones bidireccionales en las brechas.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Evidencia de que funcionó: </w:t>
      </w:r>
      <w:r>
        <w:rPr>
          <w:rFonts w:ascii="Calibri" w:hAnsi="Calibri"/>
          <w:color w:val="334155"/>
          <w:sz w:val="20"/>
        </w:rPr>
        <w:t>Las tres comprobaciones resultaron plenamente satisfactorias: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Comprobación 1 (Pertenencia de</w:t>
      </w:r>
      <w:r>
        <w:rPr>
          <w:rFonts w:ascii="Calibri" w:hAnsi="Calibri"/>
          <w:color w:val="334155"/>
          <w:sz w:val="20"/>
        </w:rPr>
        <w:t xml:space="preserve"> Capas en ArchiMate 3.2): Cumplida. Se verificó que los procesos y actores residan en Negocio, los sistemas y hojas de cálculo en Aplicación, y los nodos, redes y DBMS en Tecnología.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Comprobación 2 (Existencia Real de Aplicaciones): Cumplida. Se contr</w:t>
      </w:r>
      <w:r>
        <w:rPr>
          <w:rFonts w:ascii="Calibri" w:hAnsi="Calibri"/>
          <w:color w:val="334155"/>
          <w:sz w:val="20"/>
        </w:rPr>
        <w:t>astó el modelo con el inventario oficial. No se incluyeron aplicaciones teóricas; las 8 aplicaciones modeladas existen y operan en La Yarada.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Comprobación 3 (Trazabilidad Bipolar de Brechas): Cumplida. Las 13 brechas tienen origen claro en el modelo A</w:t>
      </w:r>
      <w:r>
        <w:rPr>
          <w:rFonts w:ascii="Calibri" w:hAnsi="Calibri"/>
          <w:color w:val="334155"/>
          <w:sz w:val="20"/>
        </w:rPr>
        <w:t>s-Is y solución concreta en el modelo To-Be, sin elementos huérfanos.</w:t>
      </w:r>
    </w:p>
    <w:p w:rsidR="00BF4C4C" w:rsidRDefault="00EB0427">
      <w:pPr>
        <w:pStyle w:val="Ttulo2"/>
        <w:spacing w:after="80"/>
      </w:pPr>
      <w:bookmarkStart w:id="17" w:name="_Toc242976729"/>
      <w:r>
        <w:rPr>
          <w:rFonts w:ascii="Calibri" w:hAnsi="Calibri"/>
          <w:color w:val="1F4E79"/>
        </w:rPr>
        <w:t>Paso G — Registrar la evidencia y cerrar</w:t>
      </w:r>
      <w:bookmarkEnd w:id="17"/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Qué se buscaba: </w:t>
      </w:r>
      <w:r>
        <w:rPr>
          <w:rFonts w:ascii="Calibri" w:hAnsi="Calibri"/>
          <w:color w:val="334155"/>
          <w:sz w:val="20"/>
        </w:rPr>
        <w:t>Versionar en Git todos los artefactos creados, generar las etiquetas requeridas y responder la pregunta de transferencia metodo</w:t>
      </w:r>
      <w:r>
        <w:rPr>
          <w:rFonts w:ascii="Calibri" w:hAnsi="Calibri"/>
          <w:color w:val="334155"/>
          <w:sz w:val="20"/>
        </w:rPr>
        <w:t>lógica.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Comando o acción: </w:t>
      </w:r>
      <w:r>
        <w:rPr>
          <w:rFonts w:ascii="Calibri" w:hAnsi="Calibri"/>
          <w:color w:val="334155"/>
          <w:sz w:val="20"/>
        </w:rPr>
        <w:t>Ejecución de los comandos oficiales de control de versiones y etiquetado:</w:t>
      </w:r>
    </w:p>
    <w:p w:rsidR="00BF4C4C" w:rsidRDefault="00EB0427">
      <w:pPr>
        <w:pStyle w:val="SourceCode"/>
        <w:ind w:left="432"/>
      </w:pPr>
      <w:r>
        <w:t>git add .</w:t>
      </w:r>
      <w:r>
        <w:br/>
        <w:t>git commit -m "S10: arquitectura empresarial actual, objetivo y analisis de brechas — seccion 5"</w:t>
      </w:r>
      <w:r>
        <w:br/>
        <w:t xml:space="preserve">git tag -a v0.10 -m "PETI v0.10 — arquitectura </w:t>
      </w:r>
      <w:r>
        <w:t>empresarial"</w:t>
      </w:r>
      <w:r>
        <w:br/>
        <w:t>git tag -a taller-10 -m "Taller 10 · SI886"</w:t>
      </w:r>
      <w:r>
        <w:br/>
        <w:t>git push origin main --tags</w:t>
      </w:r>
    </w:p>
    <w:p w:rsidR="00BF4C4C" w:rsidRDefault="00EB0427">
      <w:pPr>
        <w:pStyle w:val="Compact"/>
        <w:spacing w:after="60" w:line="276" w:lineRule="auto"/>
      </w:pPr>
      <w:r>
        <w:rPr>
          <w:rFonts w:ascii="Calibri" w:hAnsi="Calibri"/>
          <w:b/>
          <w:color w:val="1F4E79"/>
          <w:sz w:val="20"/>
        </w:rPr>
        <w:t xml:space="preserve">• </w:t>
      </w:r>
      <w:r>
        <w:rPr>
          <w:rFonts w:ascii="Calibri" w:hAnsi="Calibri"/>
          <w:b/>
          <w:color w:val="0F172A"/>
          <w:sz w:val="20"/>
        </w:rPr>
        <w:t xml:space="preserve">Evidencia de que funcionó: </w:t>
      </w:r>
      <w:r>
        <w:rPr>
          <w:rFonts w:ascii="Calibri" w:hAnsi="Calibri"/>
          <w:color w:val="334155"/>
          <w:sz w:val="20"/>
        </w:rPr>
        <w:t>Versionamiento exitoso bajo los tags 'v0.10' y 'taller-10'. Asimismo, se respondió exhaustivamente a la pregunta de transferencia en la Secció</w:t>
      </w:r>
      <w:r>
        <w:rPr>
          <w:rFonts w:ascii="Calibri" w:hAnsi="Calibri"/>
          <w:color w:val="334155"/>
          <w:sz w:val="20"/>
        </w:rPr>
        <w:t>n 5 del cuestionario.</w:t>
      </w:r>
    </w:p>
    <w:p w:rsidR="00BF4C4C" w:rsidRDefault="00EB0427">
      <w:pPr>
        <w:pStyle w:val="Ttulo1"/>
        <w:spacing w:after="120"/>
      </w:pPr>
      <w:bookmarkStart w:id="18" w:name="_Toc242976730"/>
      <w:r>
        <w:rPr>
          <w:rFonts w:ascii="Calibri" w:hAnsi="Calibri"/>
        </w:rPr>
        <w:lastRenderedPageBreak/>
        <w:t>3. Resultados</w:t>
      </w:r>
      <w:bookmarkEnd w:id="18"/>
    </w:p>
    <w:p w:rsidR="00BF4C4C" w:rsidRDefault="00EB0427">
      <w:pPr>
        <w:spacing w:after="80" w:line="276" w:lineRule="auto"/>
      </w:pPr>
      <w:r>
        <w:rPr>
          <w:rFonts w:ascii="Calibri" w:hAnsi="Calibri"/>
          <w:color w:val="334155"/>
          <w:sz w:val="20"/>
        </w:rPr>
        <w:t>A continuación se presenta la matriz de comprobación oficial del Taller 10, evaluada frente a los resultados esperados de la guía y respaldada por las evidencias verificables en el repositorio: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4032"/>
        <w:gridCol w:w="1152"/>
        <w:gridCol w:w="3744"/>
      </w:tblGrid>
      <w:tr w:rsidR="00BF4C4C">
        <w:trPr>
          <w:jc w:val="center"/>
        </w:trPr>
        <w:tc>
          <w:tcPr>
            <w:tcW w:w="57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03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¿Se </w:t>
            </w:r>
            <w:r>
              <w:rPr>
                <w:rFonts w:ascii="Calibri" w:hAnsi="Calibri"/>
                <w:b/>
                <w:color w:val="FFFFFF"/>
                <w:sz w:val="18"/>
              </w:rPr>
              <w:t>logró?</w:t>
            </w:r>
          </w:p>
        </w:tc>
        <w:tc>
          <w:tcPr>
            <w:tcW w:w="374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C4C" w:rsidRDefault="00EB04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verificable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Seis principios de arquitectura con los cinco campos y su trazabilidad al diagnóstico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https://github.com/GianfrancoArocutipa/Taller10_Empresa_01_Exportadora/tree/taller-10/05_arquitectura/AR01_principios.md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Modelo</w:t>
            </w:r>
            <w:r>
              <w:rPr>
                <w:rFonts w:ascii="Calibri" w:hAnsi="Calibri"/>
                <w:sz w:val="16"/>
              </w:rPr>
              <w:t xml:space="preserve"> en Archi con las tres capas de la arquitectura actual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https://github.com/GianfrancoArocutipa/Taller10_Empresa_01_Exportadora/tree/taller-10/anexos/anexo_A_modelo_arquitectura.archimate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Las hojas de cálculo modeladas como componentes de aplicaci</w:t>
            </w:r>
            <w:r>
              <w:rPr>
                <w:rFonts w:ascii="Calibri" w:hAnsi="Calibri"/>
                <w:sz w:val="16"/>
              </w:rPr>
              <w:t>ón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https://github.com/GianfrancoArocutipa/Taller10_Empresa_01_Exportadora/tree/taller-10/docs/evidencias/S10/graficos/vista_actual_3capas.png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Vista de cooperación proceso-aplicación, con los procesos sin soporte identificados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https://github.com/GianfrancoArocutipa/Taller10_Empresa_01_Exportadora/tree/taller-10/docs/evidencias/S10/graficos/vista_cooperacion.png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Estructura de la información con ≥ 6 entidades, sus sistemas y su número de registros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https://github.com/Gia</w:t>
            </w:r>
            <w:r>
              <w:rPr>
                <w:rFonts w:ascii="Calibri" w:hAnsi="Calibri"/>
                <w:sz w:val="16"/>
              </w:rPr>
              <w:t>nfrancoArocutipa/Taller10_Empresa_01_Exportadora/tree/taller-10/05_arquitectura/AR02_entidades.csv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Entidades sin fuente autoritativa y sin dueño identificadas y contadas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5 de 7 entidades (71.4%) en https://github.com/GianfrancoArocutipa/Taller10</w:t>
            </w:r>
            <w:r>
              <w:rPr>
                <w:rFonts w:ascii="Calibri" w:hAnsi="Calibri"/>
                <w:sz w:val="16"/>
              </w:rPr>
              <w:t>_Empresa_01_Exportadora/tree/taller-10/05_arquitectura/AR02_entidades.csv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7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Entidades que contienen datos personales marcadas, con su clasificación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3 entidades clasificadas en https://github.com/GianfrancoArocutipa/Taller10_Empresa_01_Exportadora/</w:t>
            </w:r>
            <w:r>
              <w:rPr>
                <w:rFonts w:ascii="Calibri" w:hAnsi="Calibri"/>
                <w:sz w:val="16"/>
              </w:rPr>
              <w:t>tree/taller-10/05_arquitectura/AR02_entidades.csv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Arquitectura objetivo modelada, con cada cambio trazado a su origen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https://github.com/GianfrancoArocutipa/Taller10_Empresa_01_Exportadora/tree/taller-10/docs/evidencias/S10/graficos/vista_objetivo.png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Análisis de brechas con ≥ 10 brechas, su tipo, esfuerzo y dependencias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13 brechas en https://github.com/Gianfra</w:t>
            </w:r>
            <w:r>
              <w:rPr>
                <w:rFonts w:ascii="Calibri" w:hAnsi="Calibri"/>
                <w:sz w:val="16"/>
              </w:rPr>
              <w:t>ncoArocutipa/Taller10_Empresa_01_Exportadora/tree/taller-10/05_arquitectura/AR03_brechas.csv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10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Paquetes de trabajo derivados de las brechas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 xml:space="preserve">6 paquetes (PT-01 a PT-06) en </w:t>
            </w:r>
            <w:r>
              <w:rPr>
                <w:rFonts w:ascii="Calibri" w:hAnsi="Calibri"/>
                <w:sz w:val="16"/>
              </w:rPr>
              <w:t>https://github.com/GianfrancoArocutipa/Taller10_Empresa_01_Exportadora/tree/taller-10/docs/evidencias/S10/salidas/salida_brechas.txt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11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Secuencia obligada por dependencias determinada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Secuencia en 3 fases en https://github.com/GianfrancoArocutipa/</w:t>
            </w:r>
            <w:r>
              <w:rPr>
                <w:rFonts w:ascii="Calibri" w:hAnsi="Calibri"/>
                <w:sz w:val="16"/>
              </w:rPr>
              <w:t>Taller10_Empresa_01_Exportadora/tree/taller-10/docs/evidencias/S10/salidas/salida_brechas.txt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t>12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Tres vistas exportadas en PNG, sin detalle técnico sensible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https://github.com/GianfrancoArocutipa/Taller10_Empresa_01_Exportadora/tree/taller-</w:t>
            </w:r>
            <w:r>
              <w:rPr>
                <w:rFonts w:ascii="Calibri" w:hAnsi="Calibri"/>
                <w:sz w:val="16"/>
              </w:rPr>
              <w:lastRenderedPageBreak/>
              <w:t>10/docs/evidencias/S10/graficos/</w:t>
            </w:r>
          </w:p>
        </w:tc>
      </w:tr>
      <w:tr w:rsidR="00BF4C4C">
        <w:trPr>
          <w:jc w:val="center"/>
        </w:trPr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sz w:val="16"/>
              </w:rPr>
              <w:lastRenderedPageBreak/>
              <w:t>13</w:t>
            </w:r>
          </w:p>
        </w:tc>
        <w:tc>
          <w:tcPr>
            <w:tcW w:w="40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Sección 5 redactada · etiquetas v0.10 y taller-10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b/>
                <w:color w:val="27AE60"/>
                <w:sz w:val="16"/>
              </w:rPr>
              <w:t>Logrado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4C4C" w:rsidRDefault="00EB0427">
            <w:r>
              <w:rPr>
                <w:rFonts w:ascii="Calibri" w:hAnsi="Calibri"/>
                <w:sz w:val="16"/>
              </w:rPr>
              <w:t>Tags v0.10 y taller-10 en https://github.com/GianfrancoArocutipa/Taller10_Empr</w:t>
            </w:r>
            <w:r>
              <w:rPr>
                <w:rFonts w:ascii="Calibri" w:hAnsi="Calibri"/>
                <w:sz w:val="16"/>
              </w:rPr>
              <w:t>esa_01_Exportadora/tree/taller-10</w:t>
            </w:r>
          </w:p>
        </w:tc>
      </w:tr>
    </w:tbl>
    <w:p w:rsidR="00BF4C4C" w:rsidRDefault="00EB0427">
      <w:pPr>
        <w:spacing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Evaluación Global: </w:t>
      </w:r>
      <w:r>
        <w:rPr>
          <w:rFonts w:ascii="Calibri" w:hAnsi="Calibri"/>
          <w:color w:val="334155"/>
          <w:sz w:val="20"/>
        </w:rPr>
        <w:t>Evaluación global de resultados: Los trece resultados exigidos por la lista de comprobación de la Semana 10 fueron alcanzados satisfactoriamente (100% de cumplimiento). Toda la evidencia cuantitativa, d</w:t>
      </w:r>
      <w:r>
        <w:rPr>
          <w:rFonts w:ascii="Calibri" w:hAnsi="Calibri"/>
          <w:color w:val="334155"/>
          <w:sz w:val="20"/>
        </w:rPr>
        <w:t>atasets, diagramas a 300 DPI y scripts de cálculo se encuentran debidamente versionados y accesibles en el repositorio oficial de GitHub bajo la etiqueta 'taller-10'.</w:t>
      </w:r>
    </w:p>
    <w:p w:rsidR="00BF4C4C" w:rsidRDefault="00EB0427">
      <w:pPr>
        <w:pStyle w:val="Ttulo1"/>
        <w:spacing w:after="120"/>
      </w:pPr>
      <w:bookmarkStart w:id="19" w:name="_Toc242976731"/>
      <w:r>
        <w:rPr>
          <w:rFonts w:ascii="Calibri" w:hAnsi="Calibri"/>
        </w:rPr>
        <w:t>4. Conclusiones</w:t>
      </w:r>
      <w:bookmarkEnd w:id="19"/>
    </w:p>
    <w:p w:rsidR="00BF4C4C" w:rsidRDefault="00EB0427">
      <w:pPr>
        <w:spacing w:after="120" w:line="276" w:lineRule="auto"/>
      </w:pPr>
      <w:r>
        <w:rPr>
          <w:rFonts w:ascii="Calibri" w:hAnsi="Calibri"/>
          <w:b/>
          <w:color w:val="16285C"/>
          <w:sz w:val="20"/>
        </w:rPr>
        <w:t>1. La capa de datos revela la verdadera deuda técnica y el riesgo operaci</w:t>
      </w:r>
      <w:r>
        <w:rPr>
          <w:rFonts w:ascii="Calibri" w:hAnsi="Calibri"/>
          <w:b/>
          <w:color w:val="16285C"/>
          <w:sz w:val="20"/>
        </w:rPr>
        <w:t>onal de la empresa:</w:t>
      </w:r>
      <w:r>
        <w:rPr>
          <w:rFonts w:ascii="Calibri" w:hAnsi="Calibri"/>
          <w:color w:val="334155"/>
          <w:sz w:val="20"/>
        </w:rPr>
        <w:t xml:space="preserve"> El diagnóstico demostró que la dispersión del dato maestro de 'Lote' en cuatro sistemas y la falta de dueño formal (5 de 7 entidades sin dueño) explican por qué la empresa tardó 11 días en atender un reclamo de calidad en 2024. Los prob</w:t>
      </w:r>
      <w:r>
        <w:rPr>
          <w:rFonts w:ascii="Calibri" w:hAnsi="Calibri"/>
          <w:color w:val="334155"/>
          <w:sz w:val="20"/>
        </w:rPr>
        <w:t>lemas de trazabilidad no eran atribuibles al software de balanza, sino a la inexistencia de una fuente autoritativa de verdad. Preguntar quién responde por el lote reveló que múltiples áreas lo alimentan y ninguna responde por su consistencia.</w:t>
      </w:r>
    </w:p>
    <w:p w:rsidR="00BF4C4C" w:rsidRDefault="00EB0427">
      <w:pPr>
        <w:spacing w:after="120" w:line="276" w:lineRule="auto"/>
      </w:pPr>
      <w:r>
        <w:rPr>
          <w:rFonts w:ascii="Calibri" w:hAnsi="Calibri"/>
          <w:b/>
          <w:color w:val="16285C"/>
          <w:sz w:val="20"/>
        </w:rPr>
        <w:t>2. La arquit</w:t>
      </w:r>
      <w:r>
        <w:rPr>
          <w:rFonts w:ascii="Calibri" w:hAnsi="Calibri"/>
          <w:b/>
          <w:color w:val="16285C"/>
          <w:sz w:val="20"/>
        </w:rPr>
        <w:t>ectura objetivo no se diseña por moda tecnológica, sino por estricta derivación estratégica:</w:t>
      </w:r>
      <w:r>
        <w:rPr>
          <w:rFonts w:ascii="Calibri" w:hAnsi="Calibri"/>
          <w:color w:val="334155"/>
          <w:sz w:val="20"/>
        </w:rPr>
        <w:t xml:space="preserve"> Cada componente propuesto en el modelo To-Be (el Módulo MES, las APIs de integración y la nube híbrida) responde a una métrica concreta del plan: reducir el tiempo</w:t>
      </w:r>
      <w:r>
        <w:rPr>
          <w:rFonts w:ascii="Calibri" w:hAnsi="Calibri"/>
          <w:color w:val="334155"/>
          <w:sz w:val="20"/>
        </w:rPr>
        <w:t xml:space="preserve"> de trazabilidad de 11 días a menos de 2 horas para cumplir las auditorías de SENASA y la Unión Europea. La trazabilidad bipolar entre el estado actual y el objetivo es lo que permite defender técnicamente el presupuesto de TI ante la Alta Dirección.</w:t>
      </w:r>
    </w:p>
    <w:p w:rsidR="00BF4C4C" w:rsidRDefault="00EB0427">
      <w:pPr>
        <w:spacing w:after="120" w:line="276" w:lineRule="auto"/>
      </w:pPr>
      <w:r>
        <w:rPr>
          <w:rFonts w:ascii="Calibri" w:hAnsi="Calibri"/>
          <w:b/>
          <w:color w:val="16285C"/>
          <w:sz w:val="20"/>
        </w:rPr>
        <w:t>3. La</w:t>
      </w:r>
      <w:r>
        <w:rPr>
          <w:rFonts w:ascii="Calibri" w:hAnsi="Calibri"/>
          <w:b/>
          <w:color w:val="16285C"/>
          <w:sz w:val="20"/>
        </w:rPr>
        <w:t>s dependencias entre paquetes de trabajo imponen una secuencia obligada que la hoja de ruta debe respetar:</w:t>
      </w:r>
      <w:r>
        <w:rPr>
          <w:rFonts w:ascii="Calibri" w:hAnsi="Calibri"/>
          <w:color w:val="334155"/>
          <w:sz w:val="20"/>
        </w:rPr>
        <w:t xml:space="preserve"> La ejecución del análisis de brechas demostró que proyectos como la analítica avanzada de costos o el portal de trazabilidad no pueden implementarse </w:t>
      </w:r>
      <w:r>
        <w:rPr>
          <w:rFonts w:ascii="Calibri" w:hAnsi="Calibri"/>
          <w:color w:val="334155"/>
          <w:sz w:val="20"/>
        </w:rPr>
        <w:t>sobre datos inconsistentes o infraestructura inestable. El Gobierno del Dato Maestro (PT-01) y la Infraestructura con Respaldo Inmutable (PT-04) constituyen prerrequisitos habilitadores ineludibles. Ignorar esta secuencia provocaría la parálisis de los sis</w:t>
      </w:r>
      <w:r>
        <w:rPr>
          <w:rFonts w:ascii="Calibri" w:hAnsi="Calibri"/>
          <w:color w:val="334155"/>
          <w:sz w:val="20"/>
        </w:rPr>
        <w:t>temas y el rechazo de los usuarios.</w:t>
      </w:r>
    </w:p>
    <w:p w:rsidR="00BF4C4C" w:rsidRDefault="00EB0427">
      <w:pPr>
        <w:pStyle w:val="Ttulo1"/>
        <w:spacing w:after="120"/>
      </w:pPr>
      <w:bookmarkStart w:id="20" w:name="_Toc242976732"/>
      <w:r>
        <w:rPr>
          <w:rFonts w:ascii="Calibri" w:hAnsi="Calibri"/>
        </w:rPr>
        <w:t>5. Cuestionario</w:t>
      </w:r>
      <w:bookmarkEnd w:id="20"/>
    </w:p>
    <w:p w:rsidR="00BF4C4C" w:rsidRDefault="00EB0427">
      <w:pPr>
        <w:spacing w:before="160" w:after="40"/>
      </w:pPr>
      <w:r>
        <w:rPr>
          <w:rFonts w:ascii="Calibri" w:hAnsi="Calibri"/>
          <w:b/>
          <w:color w:val="1F4E79"/>
          <w:sz w:val="20"/>
        </w:rPr>
        <w:t>Pregunta 1 (Pregunta de transferencia de la guía · Paso G): ¿Qué riesgo correría una organización real si este modelado de arquitectura empresarial se hiciera mal o se omitiera?</w:t>
      </w:r>
    </w:p>
    <w:p w:rsidR="00BF4C4C" w:rsidRDefault="00EB0427">
      <w:pPr>
        <w:spacing w:after="120" w:line="276" w:lineRule="auto"/>
      </w:pPr>
      <w:r>
        <w:rPr>
          <w:rFonts w:ascii="Calibri" w:hAnsi="Calibri"/>
          <w:color w:val="334155"/>
          <w:sz w:val="19"/>
        </w:rPr>
        <w:t>Respuesta: Correría el rie</w:t>
      </w:r>
      <w:r>
        <w:rPr>
          <w:rFonts w:ascii="Calibri" w:hAnsi="Calibri"/>
          <w:color w:val="334155"/>
          <w:sz w:val="19"/>
        </w:rPr>
        <w:t>sgo inminente de parálisis operativa, pérdidas económicas millonarias por rechazo de exportaciones y sanciones regulatorias severas. En una agroexportadora como Valle Viejo, omitir la arquitectura empresarial implicaría seguir confiando el núcleo de la tra</w:t>
      </w:r>
      <w:r>
        <w:rPr>
          <w:rFonts w:ascii="Calibri" w:hAnsi="Calibri"/>
          <w:color w:val="334155"/>
          <w:sz w:val="19"/>
        </w:rPr>
        <w:t>zabilidad a un aplicativo artesanal en Access y libros de Excel manipulables. Si SENASA o la FDA auditan un embarque y la empresa tarda 11 días en reconstruir el lote (en lugar de 2 horas), los contenedores son retenidos en puerto perdiéndose perecibles de</w:t>
      </w:r>
      <w:r>
        <w:rPr>
          <w:rFonts w:ascii="Calibri" w:hAnsi="Calibri"/>
          <w:color w:val="334155"/>
          <w:sz w:val="19"/>
        </w:rPr>
        <w:t xml:space="preserve"> alto valor y cancelándose certificaciones internacionales. Asimismo, comprar un nuevo software sin sanear las entidades de datos duplicaría los costos de implantación sin resolver el desvío de kilos entre sistemas.</w:t>
      </w:r>
    </w:p>
    <w:p w:rsidR="00BF4C4C" w:rsidRDefault="00EB0427">
      <w:pPr>
        <w:spacing w:before="160" w:after="40"/>
      </w:pPr>
      <w:r>
        <w:rPr>
          <w:rFonts w:ascii="Calibri" w:hAnsi="Calibri"/>
          <w:b/>
          <w:color w:val="1F4E79"/>
          <w:sz w:val="20"/>
        </w:rPr>
        <w:t>Pregunta 2: ¿Por qué es obligatorio mode</w:t>
      </w:r>
      <w:r>
        <w:rPr>
          <w:rFonts w:ascii="Calibri" w:hAnsi="Calibri"/>
          <w:b/>
          <w:color w:val="1F4E79"/>
          <w:sz w:val="20"/>
        </w:rPr>
        <w:t>lar las hojas de cálculo operativas dentro de la capa de aplicaciones de ArchiMate y qué impacto tiene omitirlas?</w:t>
      </w:r>
    </w:p>
    <w:p w:rsidR="00BF4C4C" w:rsidRDefault="00EB0427">
      <w:pPr>
        <w:spacing w:after="120" w:line="276" w:lineRule="auto"/>
      </w:pPr>
      <w:r>
        <w:rPr>
          <w:rFonts w:ascii="Calibri" w:hAnsi="Calibri"/>
          <w:color w:val="334155"/>
          <w:sz w:val="19"/>
        </w:rPr>
        <w:t>Respuesta: Porque en organizaciones medianas, las hojas de cálculo operan en la práctica como sistemas de información críticos (Shadow IT). Si</w:t>
      </w:r>
      <w:r>
        <w:rPr>
          <w:rFonts w:ascii="Calibri" w:hAnsi="Calibri"/>
          <w:color w:val="334155"/>
          <w:sz w:val="19"/>
        </w:rPr>
        <w:t xml:space="preserve"> se omitieran del modelo para reflejar solo los sistemas formalmente adquiridos, se construiría una arquitectura ficticia. Omitir el libro de Excel de trazabilidad o el de costos de Finanzas impediría detectar las brechas de integración reales, llevando a </w:t>
      </w:r>
      <w:r>
        <w:rPr>
          <w:rFonts w:ascii="Calibri" w:hAnsi="Calibri"/>
          <w:color w:val="334155"/>
          <w:sz w:val="19"/>
        </w:rPr>
        <w:t>formular proyectos de TI que no resuelven el trabajo manual subyacente y perpetúan la duplicidad de digitación.</w:t>
      </w:r>
    </w:p>
    <w:p w:rsidR="00BF4C4C" w:rsidRDefault="00EB0427">
      <w:pPr>
        <w:spacing w:before="160" w:after="40"/>
      </w:pPr>
      <w:r>
        <w:rPr>
          <w:rFonts w:ascii="Calibri" w:hAnsi="Calibri"/>
          <w:b/>
          <w:color w:val="1F4E79"/>
          <w:sz w:val="20"/>
        </w:rPr>
        <w:lastRenderedPageBreak/>
        <w:t xml:space="preserve">Pregunta 3: ¿Por qué se afirma en el marco TOGAF que la capa de datos es la que mayor valor aporta al PETI y la que menos suele estar </w:t>
      </w:r>
      <w:r>
        <w:rPr>
          <w:rFonts w:ascii="Calibri" w:hAnsi="Calibri"/>
          <w:b/>
          <w:color w:val="1F4E79"/>
          <w:sz w:val="20"/>
        </w:rPr>
        <w:t>documentada?</w:t>
      </w:r>
    </w:p>
    <w:p w:rsidR="00BF4C4C" w:rsidRDefault="00EB0427">
      <w:pPr>
        <w:spacing w:after="120" w:line="276" w:lineRule="auto"/>
      </w:pPr>
      <w:r>
        <w:rPr>
          <w:rFonts w:ascii="Calibri" w:hAnsi="Calibri"/>
          <w:color w:val="334155"/>
          <w:sz w:val="19"/>
        </w:rPr>
        <w:t xml:space="preserve">Respuesta: Porque los datos representan los activos informacionales perdurables del negocio, independientes de la tecnología de turno. La tecnología cambia de servidor a nube y las aplicaciones se reemplazan, pero el histórico de lotes, </w:t>
      </w:r>
      <w:r>
        <w:rPr>
          <w:rFonts w:ascii="Calibri" w:hAnsi="Calibri"/>
          <w:color w:val="334155"/>
          <w:sz w:val="19"/>
        </w:rPr>
        <w:t>clientes y compras permanece. Documentar la capa de datos revela las inconsistencias estructurales que ninguna herramienta automática detecta: duplicidades de registros, ausencia de fuentes autoritativas y vacío de responsabilidades legales.</w:t>
      </w:r>
    </w:p>
    <w:p w:rsidR="00BF4C4C" w:rsidRDefault="00EB0427">
      <w:pPr>
        <w:spacing w:before="160" w:after="40"/>
      </w:pPr>
      <w:r>
        <w:rPr>
          <w:rFonts w:ascii="Calibri" w:hAnsi="Calibri"/>
          <w:b/>
          <w:color w:val="1F4E79"/>
          <w:sz w:val="20"/>
        </w:rPr>
        <w:t>Pregunta 4: ¿C</w:t>
      </w:r>
      <w:r>
        <w:rPr>
          <w:rFonts w:ascii="Calibri" w:hAnsi="Calibri"/>
          <w:b/>
          <w:color w:val="1F4E79"/>
          <w:sz w:val="20"/>
        </w:rPr>
        <w:t>ómo justifica la regla de dependencias que el paquete de trabajo PT-01 (Gobierno del Dato) deba preceder a PT-02 (Trazabilidad MES) y PT-05 (Costeo Estándar)?</w:t>
      </w:r>
    </w:p>
    <w:p w:rsidR="00BF4C4C" w:rsidRDefault="00EB0427">
      <w:pPr>
        <w:spacing w:after="120" w:line="276" w:lineRule="auto"/>
      </w:pPr>
      <w:r>
        <w:rPr>
          <w:rFonts w:ascii="Calibri" w:hAnsi="Calibri"/>
          <w:color w:val="334155"/>
          <w:sz w:val="19"/>
        </w:rPr>
        <w:t>Respuesta: Porque un sistema transaccional o de costeo solo es tan confiable como los datos maest</w:t>
      </w:r>
      <w:r>
        <w:rPr>
          <w:rFonts w:ascii="Calibri" w:hAnsi="Calibri"/>
          <w:color w:val="334155"/>
          <w:sz w:val="19"/>
        </w:rPr>
        <w:t>ros que consume. Si se implementa un software de trazabilidad industrial o de costeo automático antes de definir la estructura única del lote y sanear el padrón de productores agrícolas, el nuevo sistema procesará registros inconsistentes, arrojando mermas</w:t>
      </w:r>
      <w:r>
        <w:rPr>
          <w:rFonts w:ascii="Calibri" w:hAnsi="Calibri"/>
          <w:color w:val="334155"/>
          <w:sz w:val="19"/>
        </w:rPr>
        <w:t xml:space="preserve"> ficticias y liquidaciones erróneas. El principio 'basura entra, basura sale' impone que el gobierno del dato sea siempre el primer hito habilitador.</w:t>
      </w:r>
    </w:p>
    <w:p w:rsidR="00BF4C4C" w:rsidRDefault="00EB0427">
      <w:pPr>
        <w:pStyle w:val="Ttulo1"/>
        <w:spacing w:after="120"/>
      </w:pPr>
      <w:bookmarkStart w:id="21" w:name="_Toc242976733"/>
      <w:r>
        <w:rPr>
          <w:rFonts w:ascii="Calibri" w:hAnsi="Calibri"/>
        </w:rPr>
        <w:t>6. Referencias bibliográficas</w:t>
      </w:r>
      <w:bookmarkEnd w:id="21"/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Archi. (2024). Archi — Open Source ArchiMate Modelling (Versión 5.4). https:</w:t>
      </w:r>
      <w:r>
        <w:rPr>
          <w:rFonts w:ascii="Calibri" w:hAnsi="Calibri"/>
          <w:color w:val="334155"/>
          <w:sz w:val="18"/>
        </w:rPr>
        <w:t>//www.archimatetool.com/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Congreso de la República del Perú. (2011). Ley N° 29733: Ley de Protección de Datos Personales y su Reglamento aprobado por D. S. N° 003-2013-JUS.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ISACA. (2018). COBIT 2019 Framework: Governance and Management Objectives (Objetivos</w:t>
      </w:r>
      <w:r>
        <w:rPr>
          <w:rFonts w:ascii="Calibri" w:hAnsi="Calibri"/>
          <w:color w:val="334155"/>
          <w:sz w:val="18"/>
        </w:rPr>
        <w:t xml:space="preserve"> APO03 Managed Enterprise Architecture y DSS04 Managed Continuity). Information Systems Audit and Control Association.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ISO/IEC/IEEE. (2011). Systems and software engineering — Architecture description (ISO/IEC/IEEE Standard 42010:2011). IEEE.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Lankhorst, M.</w:t>
      </w:r>
      <w:r>
        <w:rPr>
          <w:rFonts w:ascii="Calibri" w:hAnsi="Calibri"/>
          <w:color w:val="334155"/>
          <w:sz w:val="18"/>
        </w:rPr>
        <w:t xml:space="preserve"> (2017). Enterprise Architecture at Work: Modelling, Communication and Analysis (4.ª ed.). Springer.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 xml:space="preserve">MINTIC Colombia. (2020). Marco de Referencia de Arquitectura Empresarial para la gestión de TI en el Estado. Ministerio de Tecnologías de la Información y </w:t>
      </w:r>
      <w:r>
        <w:rPr>
          <w:rFonts w:ascii="Calibri" w:hAnsi="Calibri"/>
          <w:color w:val="334155"/>
          <w:sz w:val="18"/>
        </w:rPr>
        <w:t>las Comunicaciones.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Presidencia del Consejo de Ministros. (2021). Decreto Supremo N° 029-2021-PCM: Reglamento del Decreto de Urgencia N° 006-2020 que crea el Sistema Nacional de Transformación Digital.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Rodríguez Bermúdez, J. R. (2015). Planificación y dire</w:t>
      </w:r>
      <w:r>
        <w:rPr>
          <w:rFonts w:ascii="Calibri" w:hAnsi="Calibri"/>
          <w:color w:val="334155"/>
          <w:sz w:val="18"/>
        </w:rPr>
        <w:t>cción estratégica de sistemas de información. Editorial UOC.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Ross, J. W., Weill, P. y Robertson, D. C. (2006). Enterprise Architecture as Strategy: Creating a Foundation for Business Execution. Harvard Business School Press.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SENASA. (2023). Manual de Proce</w:t>
      </w:r>
      <w:r>
        <w:rPr>
          <w:rFonts w:ascii="Calibri" w:hAnsi="Calibri"/>
          <w:color w:val="334155"/>
          <w:sz w:val="18"/>
        </w:rPr>
        <w:t>dimientos para la Certificación Fitosanitaria de Exportación de Productos Agrícolas. Servicio Nacional de Sanidad Agraria del Perú.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The Open Group. (2022). The TOGAF® Standard, 10th Edition. The Open Group. https://www.opengroup.org/togaf</w:t>
      </w:r>
    </w:p>
    <w:p w:rsidR="00BF4C4C" w:rsidRDefault="00EB0427">
      <w:pPr>
        <w:pStyle w:val="Bibliografa"/>
        <w:spacing w:after="80" w:line="276" w:lineRule="auto"/>
        <w:ind w:left="576" w:hanging="576"/>
      </w:pPr>
      <w:r>
        <w:rPr>
          <w:rFonts w:ascii="Calibri" w:hAnsi="Calibri"/>
          <w:color w:val="334155"/>
          <w:sz w:val="18"/>
        </w:rPr>
        <w:t>The Open Group. (</w:t>
      </w:r>
      <w:r>
        <w:rPr>
          <w:rFonts w:ascii="Calibri" w:hAnsi="Calibri"/>
          <w:color w:val="334155"/>
          <w:sz w:val="18"/>
        </w:rPr>
        <w:t>2022). ArchiMate® 3.2 Specification. The Open Group. https://pubs.opengroup.org/architecture/archimate3-doc/</w:t>
      </w:r>
    </w:p>
    <w:p w:rsidR="00BF4C4C" w:rsidRDefault="00EB0427">
      <w:pPr>
        <w:pStyle w:val="Ttulo1"/>
        <w:spacing w:after="120"/>
      </w:pPr>
      <w:bookmarkStart w:id="22" w:name="_Toc242976734"/>
      <w:r>
        <w:rPr>
          <w:rFonts w:ascii="Calibri" w:hAnsi="Calibri"/>
        </w:rPr>
        <w:t>7. Anexos</w:t>
      </w:r>
      <w:bookmarkEnd w:id="22"/>
    </w:p>
    <w:p w:rsidR="00BF4C4C" w:rsidRDefault="00EB0427">
      <w:pPr>
        <w:spacing w:before="120" w:after="40"/>
      </w:pPr>
      <w:r>
        <w:rPr>
          <w:rFonts w:ascii="Calibri" w:hAnsi="Calibri"/>
          <w:b/>
          <w:color w:val="1F4E79"/>
          <w:sz w:val="19"/>
        </w:rPr>
        <w:t>• Anexo A: Modelo de Arquitectura Empresarial en ArchiMate</w:t>
      </w:r>
    </w:p>
    <w:p w:rsidR="00BF4C4C" w:rsidRDefault="00EB0427">
      <w:pPr>
        <w:spacing w:after="80"/>
        <w:ind w:left="360"/>
      </w:pPr>
      <w:r>
        <w:rPr>
          <w:rFonts w:ascii="Calibri" w:hAnsi="Calibri"/>
          <w:i/>
          <w:color w:val="64748B"/>
          <w:sz w:val="17"/>
        </w:rPr>
        <w:t>Archivo: anexos/anexo_A_modelo_arquitectura.archimate | Enlace oficial: https:</w:t>
      </w:r>
      <w:r>
        <w:rPr>
          <w:rFonts w:ascii="Calibri" w:hAnsi="Calibri"/>
          <w:i/>
          <w:color w:val="64748B"/>
          <w:sz w:val="17"/>
        </w:rPr>
        <w:t>//github.com/GianfrancoArocutipa/Taller10_Empresa_01_Exportadora/tree/taller-10/anexos/anexo_A_modelo_arquitectura.archimate</w:t>
      </w:r>
      <w:r>
        <w:rPr>
          <w:rFonts w:ascii="Calibri" w:hAnsi="Calibri"/>
          <w:i/>
          <w:color w:val="64748B"/>
          <w:sz w:val="17"/>
        </w:rPr>
        <w:br/>
      </w:r>
      <w:r>
        <w:rPr>
          <w:rFonts w:ascii="Calibri" w:hAnsi="Calibri"/>
          <w:color w:val="334155"/>
          <w:sz w:val="18"/>
        </w:rPr>
        <w:t>Descripción: Archivo oficial en formato XML nativo de Archi con la especificación completa de elementos de Negocio, Aplicación, Tec</w:t>
      </w:r>
      <w:r>
        <w:rPr>
          <w:rFonts w:ascii="Calibri" w:hAnsi="Calibri"/>
          <w:color w:val="334155"/>
          <w:sz w:val="18"/>
        </w:rPr>
        <w:t>nología y Motivación.</w:t>
      </w:r>
    </w:p>
    <w:p w:rsidR="00BF4C4C" w:rsidRDefault="00EB0427">
      <w:pPr>
        <w:spacing w:before="120" w:after="40"/>
      </w:pPr>
      <w:r>
        <w:rPr>
          <w:rFonts w:ascii="Calibri" w:hAnsi="Calibri"/>
          <w:b/>
          <w:color w:val="1F4E79"/>
          <w:sz w:val="19"/>
        </w:rPr>
        <w:t>• Anexo B: Vista de Cooperación Proceso-Aplicación (Alta Resolución)</w:t>
      </w:r>
    </w:p>
    <w:p w:rsidR="00BF4C4C" w:rsidRDefault="00EB0427">
      <w:pPr>
        <w:spacing w:after="80"/>
        <w:ind w:left="360"/>
      </w:pPr>
      <w:r>
        <w:rPr>
          <w:rFonts w:ascii="Calibri" w:hAnsi="Calibri"/>
          <w:i/>
          <w:color w:val="64748B"/>
          <w:sz w:val="17"/>
        </w:rPr>
        <w:t>Archivo: anexos/anexo_B_vista_proceso_aplicacion.png | Enlace oficial: https://github.com/GianfrancoArocutipa/Taller10_Empresa_01_Exportadora/tree/taller-10/anexos/a</w:t>
      </w:r>
      <w:r>
        <w:rPr>
          <w:rFonts w:ascii="Calibri" w:hAnsi="Calibri"/>
          <w:i/>
          <w:color w:val="64748B"/>
          <w:sz w:val="17"/>
        </w:rPr>
        <w:t>nexo_B_vista_proceso_aplicacion.png</w:t>
      </w:r>
      <w:r>
        <w:rPr>
          <w:rFonts w:ascii="Calibri" w:hAnsi="Calibri"/>
          <w:i/>
          <w:color w:val="64748B"/>
          <w:sz w:val="17"/>
        </w:rPr>
        <w:br/>
      </w:r>
      <w:r>
        <w:rPr>
          <w:rFonts w:ascii="Calibri" w:hAnsi="Calibri"/>
          <w:color w:val="334155"/>
          <w:sz w:val="18"/>
        </w:rPr>
        <w:lastRenderedPageBreak/>
        <w:t>Descripción: Gráfico renderizado a 300 DPI que ilustra la matriz de soporte actual e identifica los tres procesos en estado deficiente.</w:t>
      </w:r>
    </w:p>
    <w:p w:rsidR="00BF4C4C" w:rsidRDefault="00EB0427">
      <w:pPr>
        <w:spacing w:before="120" w:after="40"/>
      </w:pPr>
      <w:r>
        <w:rPr>
          <w:rFonts w:ascii="Calibri" w:hAnsi="Calibri"/>
          <w:b/>
          <w:color w:val="1F4E79"/>
          <w:sz w:val="19"/>
        </w:rPr>
        <w:t>• Anexo C: Matriz de Estructura de la Información y Gobierno del Dato</w:t>
      </w:r>
    </w:p>
    <w:p w:rsidR="00BF4C4C" w:rsidRDefault="00EB0427">
      <w:pPr>
        <w:spacing w:after="80"/>
        <w:ind w:left="360"/>
      </w:pPr>
      <w:r>
        <w:rPr>
          <w:rFonts w:ascii="Calibri" w:hAnsi="Calibri"/>
          <w:i/>
          <w:color w:val="64748B"/>
          <w:sz w:val="17"/>
        </w:rPr>
        <w:t>Archivo: anexo</w:t>
      </w:r>
      <w:r>
        <w:rPr>
          <w:rFonts w:ascii="Calibri" w:hAnsi="Calibri"/>
          <w:i/>
          <w:color w:val="64748B"/>
          <w:sz w:val="17"/>
        </w:rPr>
        <w:t>s/anexo_C_estructura_informacion.xlsx | Enlace oficial: https://github.com/GianfrancoArocutipa/Taller10_Empresa_01_Exportadora/tree/taller-10/anexos/anexo_C_estructura_informacion.xlsx</w:t>
      </w:r>
      <w:r>
        <w:rPr>
          <w:rFonts w:ascii="Calibri" w:hAnsi="Calibri"/>
          <w:i/>
          <w:color w:val="64748B"/>
          <w:sz w:val="17"/>
        </w:rPr>
        <w:br/>
      </w:r>
      <w:r>
        <w:rPr>
          <w:rFonts w:ascii="Calibri" w:hAnsi="Calibri"/>
          <w:color w:val="334155"/>
          <w:sz w:val="18"/>
        </w:rPr>
        <w:t>Descripción: Libro de cálculo en Excel con el inventario de entidades d</w:t>
      </w:r>
      <w:r>
        <w:rPr>
          <w:rFonts w:ascii="Calibri" w:hAnsi="Calibri"/>
          <w:color w:val="334155"/>
          <w:sz w:val="18"/>
        </w:rPr>
        <w:t>e datos, sistemas de residencia, discrepancias observadas, conteos y asignación de dueños por cargo.</w:t>
      </w:r>
    </w:p>
    <w:p w:rsidR="00BF4C4C" w:rsidRDefault="00EB0427">
      <w:pPr>
        <w:spacing w:before="120" w:after="40"/>
      </w:pPr>
      <w:r>
        <w:rPr>
          <w:rFonts w:ascii="Calibri" w:hAnsi="Calibri"/>
          <w:b/>
          <w:color w:val="1F4E79"/>
          <w:sz w:val="19"/>
        </w:rPr>
        <w:t>• Anexo D: Vista de Arquitectura Objetivo To-Be (Alta Resolución)</w:t>
      </w:r>
    </w:p>
    <w:p w:rsidR="00BF4C4C" w:rsidRDefault="00EB0427">
      <w:pPr>
        <w:spacing w:after="80"/>
        <w:ind w:left="360"/>
      </w:pPr>
      <w:r>
        <w:rPr>
          <w:rFonts w:ascii="Calibri" w:hAnsi="Calibri"/>
          <w:i/>
          <w:color w:val="64748B"/>
          <w:sz w:val="17"/>
        </w:rPr>
        <w:t xml:space="preserve">Archivo: anexos/anexo_D_arquitectura_objetivo.png | Enlace oficial: </w:t>
      </w:r>
      <w:r>
        <w:rPr>
          <w:rFonts w:ascii="Calibri" w:hAnsi="Calibri"/>
          <w:i/>
          <w:color w:val="64748B"/>
          <w:sz w:val="17"/>
        </w:rPr>
        <w:t>https://github.com/GianfrancoArocutipa/Taller10_Empresa_01_Exportadora/tree/taller-10/anexos/anexo_D_arquitectura_objetivo.png</w:t>
      </w:r>
      <w:r>
        <w:rPr>
          <w:rFonts w:ascii="Calibri" w:hAnsi="Calibri"/>
          <w:i/>
          <w:color w:val="64748B"/>
          <w:sz w:val="17"/>
        </w:rPr>
        <w:br/>
      </w:r>
      <w:r>
        <w:rPr>
          <w:rFonts w:ascii="Calibri" w:hAnsi="Calibri"/>
          <w:color w:val="334155"/>
          <w:sz w:val="18"/>
        </w:rPr>
        <w:t xml:space="preserve">Descripción: Diagrama en alta resolución que muestra la modernización de las tres capas con el módulo MES, APIs de integración y </w:t>
      </w:r>
      <w:r>
        <w:rPr>
          <w:rFonts w:ascii="Calibri" w:hAnsi="Calibri"/>
          <w:color w:val="334155"/>
          <w:sz w:val="18"/>
        </w:rPr>
        <w:t>nube híbrida.</w:t>
      </w:r>
    </w:p>
    <w:p w:rsidR="00BF4C4C" w:rsidRDefault="00EB0427">
      <w:pPr>
        <w:spacing w:before="120" w:after="40"/>
      </w:pPr>
      <w:r>
        <w:rPr>
          <w:rFonts w:ascii="Calibri" w:hAnsi="Calibri"/>
          <w:b/>
          <w:color w:val="1F4E79"/>
          <w:sz w:val="19"/>
        </w:rPr>
        <w:t>• Anexo E: Matriz de Análisis de Brechas y Paquetes de Trabajo</w:t>
      </w:r>
    </w:p>
    <w:p w:rsidR="00BF4C4C" w:rsidRDefault="00EB0427">
      <w:pPr>
        <w:spacing w:after="80"/>
        <w:ind w:left="360"/>
      </w:pPr>
      <w:r>
        <w:rPr>
          <w:rFonts w:ascii="Calibri" w:hAnsi="Calibri"/>
          <w:i/>
          <w:color w:val="64748B"/>
          <w:sz w:val="17"/>
        </w:rPr>
        <w:t>Archivo: anexos/anexo_E_analisis_brechas.xlsx | Enlace oficial: https://github.com/GianfrancoArocutipa/Taller10_Empresa_01_Exportadora/tree/taller-10/anexos/anexo_E_analisis_brech</w:t>
      </w:r>
      <w:r>
        <w:rPr>
          <w:rFonts w:ascii="Calibri" w:hAnsi="Calibri"/>
          <w:i/>
          <w:color w:val="64748B"/>
          <w:sz w:val="17"/>
        </w:rPr>
        <w:t>as.xlsx</w:t>
      </w:r>
      <w:r>
        <w:rPr>
          <w:rFonts w:ascii="Calibri" w:hAnsi="Calibri"/>
          <w:i/>
          <w:color w:val="64748B"/>
          <w:sz w:val="17"/>
        </w:rPr>
        <w:br/>
      </w:r>
      <w:r>
        <w:rPr>
          <w:rFonts w:ascii="Calibri" w:hAnsi="Calibri"/>
          <w:color w:val="334155"/>
          <w:sz w:val="18"/>
        </w:rPr>
        <w:t>Descripción: Libro de cálculo estructurado con las 13 brechas categorizadas y la formulación de los 6 paquetes de trabajo con su secuencia obligada.</w:t>
      </w:r>
    </w:p>
    <w:p w:rsidR="00BF4C4C" w:rsidRDefault="00EB0427">
      <w:pPr>
        <w:spacing w:before="120" w:after="40"/>
      </w:pPr>
      <w:r>
        <w:rPr>
          <w:rFonts w:ascii="Calibri" w:hAnsi="Calibri"/>
          <w:b/>
          <w:color w:val="1F4E79"/>
          <w:sz w:val="19"/>
        </w:rPr>
        <w:t>• Anexo F: Sección 5 del PETI (Arquitectura Empresarial)</w:t>
      </w:r>
    </w:p>
    <w:p w:rsidR="00BF4C4C" w:rsidRDefault="00EB0427">
      <w:pPr>
        <w:spacing w:after="80"/>
        <w:ind w:left="360"/>
      </w:pPr>
      <w:r>
        <w:rPr>
          <w:rFonts w:ascii="Calibri" w:hAnsi="Calibri"/>
          <w:i/>
          <w:color w:val="64748B"/>
          <w:sz w:val="17"/>
        </w:rPr>
        <w:t>Archivo: docs/05_seccion_arquitectura.md |</w:t>
      </w:r>
      <w:r>
        <w:rPr>
          <w:rFonts w:ascii="Calibri" w:hAnsi="Calibri"/>
          <w:i/>
          <w:color w:val="64748B"/>
          <w:sz w:val="17"/>
        </w:rPr>
        <w:t xml:space="preserve"> Enlace oficial: https://github.com/GianfrancoArocutipa/Taller10_Empresa_01_Exportadora/tree/taller-10/docs/05_seccion_arquitectura.md</w:t>
      </w:r>
      <w:r>
        <w:rPr>
          <w:rFonts w:ascii="Calibri" w:hAnsi="Calibri"/>
          <w:i/>
          <w:color w:val="64748B"/>
          <w:sz w:val="17"/>
        </w:rPr>
        <w:br/>
      </w:r>
      <w:r>
        <w:rPr>
          <w:rFonts w:ascii="Calibri" w:hAnsi="Calibri"/>
          <w:color w:val="334155"/>
          <w:sz w:val="18"/>
        </w:rPr>
        <w:t>Descripción: Documento normativo final redactado formalmente e incorporado al Plan Estratégico de TI bajo la versión v0.1</w:t>
      </w:r>
      <w:r>
        <w:rPr>
          <w:rFonts w:ascii="Calibri" w:hAnsi="Calibri"/>
          <w:color w:val="334155"/>
          <w:sz w:val="18"/>
        </w:rPr>
        <w:t>0.</w:t>
      </w:r>
    </w:p>
    <w:sectPr w:rsidR="00BF4C4C">
      <w:headerReference w:type="default" r:id="rId11"/>
      <w:footerReference w:type="default" r:id="rId12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2217" w:rsidRDefault="00C52217">
      <w:pPr>
        <w:spacing w:after="0"/>
      </w:pPr>
      <w:r>
        <w:separator/>
      </w:r>
    </w:p>
  </w:endnote>
  <w:endnote w:type="continuationSeparator" w:id="0">
    <w:p w:rsidR="00C52217" w:rsidRDefault="00C522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2DFB" w:rsidRDefault="00EB0427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2217" w:rsidRDefault="00C52217">
      <w:pPr>
        <w:spacing w:after="0"/>
      </w:pPr>
      <w:r>
        <w:separator/>
      </w:r>
    </w:p>
  </w:footnote>
  <w:footnote w:type="continuationSeparator" w:id="0">
    <w:p w:rsidR="00C52217" w:rsidRDefault="00C522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2DFB" w:rsidRDefault="00EB0427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53A85786" wp14:editId="7C3290A2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0E8B3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C02C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DFB"/>
    <w:rsid w:val="00312DFB"/>
    <w:rsid w:val="00A33C1B"/>
    <w:rsid w:val="00BF4C4C"/>
    <w:rsid w:val="00C52217"/>
    <w:rsid w:val="00CD762B"/>
    <w:rsid w:val="00EB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B3FBD8C-BEF7-F040-992A-BC8CAB3F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4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Textoindependiente"/>
    <w:qFormat/>
    <w:pPr>
      <w:spacing w:before="100" w:after="100"/>
      <w:jc w:val="center"/>
    </w:pPr>
  </w:style>
  <w:style w:type="paragraph" w:customStyle="1" w:styleId="TituloCaratula">
    <w:name w:val="TituloCaratula"/>
    <w:basedOn w:val="Textoindependiente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Textoindependiente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Textoindependiente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Textoindependiente"/>
    <w:qFormat/>
  </w:style>
  <w:style w:type="paragraph" w:customStyle="1" w:styleId="CaratulaEtiqueta0">
    <w:name w:val="CaratulaEtiqueta"/>
    <w:basedOn w:val="Textoindependiente"/>
    <w:qFormat/>
  </w:style>
  <w:style w:type="paragraph" w:customStyle="1" w:styleId="CaratulaInstitucion0">
    <w:name w:val="CaratulaInstitucion"/>
    <w:basedOn w:val="Textoindependiente"/>
    <w:qFormat/>
  </w:style>
  <w:style w:type="paragraph" w:customStyle="1" w:styleId="CaratulaLinea0">
    <w:name w:val="CaratulaLinea"/>
    <w:basedOn w:val="Textoindependiente"/>
    <w:qFormat/>
  </w:style>
  <w:style w:type="paragraph" w:customStyle="1" w:styleId="CaratulaPie0">
    <w:name w:val="CaratulaPie"/>
    <w:basedOn w:val="Textoindependiente"/>
    <w:qFormat/>
  </w:style>
  <w:style w:type="paragraph" w:customStyle="1" w:styleId="CaratulaTitulo0">
    <w:name w:val="CaratulaTitulo"/>
    <w:basedOn w:val="Textoindependiente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A33C1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A33C1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5310</Words>
  <Characters>29210</Characters>
  <Application>Microsoft Office Word</Application>
  <DocSecurity>0</DocSecurity>
  <Lines>243</Lines>
  <Paragraphs>68</Paragraphs>
  <ScaleCrop>false</ScaleCrop>
  <Company>InnovaciónTecnológica - IT</Company>
  <LinksUpToDate>false</LinksUpToDate>
  <CharactersWithSpaces>34452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2026-08-27T20:08:00Z</dcterms:created>
  <dcterms:modified xsi:type="dcterms:W3CDTF">2026-10-15T22:11:00Z</dcterms:modified>
</cp:coreProperties>
</file>