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Sàn chuy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ển nh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ư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ợng c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ó th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ể mở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ến 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ăm sau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FIFA đang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kỳ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hè kéo dài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1/2021 do tác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ộng của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Mọi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ăm,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hè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tháng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ảy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vào tháng 8 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9 tuỳ giải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khi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bị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Covid-19,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 mùa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2019-2020 chắc chắn sẽ trễ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so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lệ. FIFA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lãnh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ảo luận khả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gia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ạn kỳ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Theo tờ Mirror, Hiệp hội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Anh (EFL) -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ý các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Championship, League One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League Two -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kéo dài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ỳ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áng 1/2021.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Ngoại hạng Anh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toán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FIFA thì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ra một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biệt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thảo luận về vấn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thị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ợng. Họ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hợp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sẽ hết hợp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tháng 6/2020 -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ểm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nhiều khả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ăng chưa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"FIFA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ập một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óm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 ứng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biệt với Covid-19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hôm 18/3. Nhóm này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xem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ét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cần thiết của việc thay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ổi tạm thời những quy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trong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lệ FIFA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quan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chuyển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hạn hợp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ồng của cầu thủ",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 ngôn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ủa FIFA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ói hôm 25/3.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diện của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ầu thủ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như đang "ng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ồi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ửa" khi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bi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kỳ chuyển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ợng tới sẽ diễn ra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