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Barca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ắt 70%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ương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ầu thủ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BAN NHALãnh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Barca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vừa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thỏa thuận về tỷ lệ giảm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từ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14/3, khi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bắt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ở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Covid-19,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khi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trở lại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Quyết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giảm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cũng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tới Ban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công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của họ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bội sau khi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bị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ãn. Tuy nhiên,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muốn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thành viên còn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0" style="width:432.000000pt;height:26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Barca phải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tay do giảm doanh thu từ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á.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của Covid-19,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bóng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Tây Ban Nha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La Liga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hạn. UEFA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hành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với Champions League.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khi nghỉ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Barca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có doanh thu cao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thế giới với mức 1,1 tỷ USD.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thu chủ yếu của họ gồm tiền bản quyền truyền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tài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ợ, quảng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áo, bán vé, áo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ĐV.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A hiện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đương 53% doanh thu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Barca. Do phải chi một khoản lớn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cho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mua cầu thủ,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chỉ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khoản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mỗi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tới, nếu doanh thu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thành tích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ống, Barca sẽ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duy trì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tại.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đương kim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La Liga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dừng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mua Neymar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Lautaro Martinez,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thời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cư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