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t>SUGGESTED CHANGE: Max Muster [This clause has been identified as potentially problematic and should be reviewed]</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4136591" w:rsidR="00676E11" w:rsidRPr="009646BB" w:rsidRDefault="12C04ABF"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t>SUGGESTED CHANGE: Tumbelenstrasse 20 [This clause has been identified as potentially problematic and should be reviewed]</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roofErr w:type="spellStart"/>
      <w:r w:rsidRPr="009378B7">
        <w:rPr>
          <w:sz w:val="22"/>
          <w:szCs w:val="22"/>
        </w:rPr>
        <w:t>Tumbelenstrasse</w:t>
      </w:r>
      <w:proofErr w:type="spellEnd"/>
      <w:r w:rsidRPr="009378B7">
        <w:rPr>
          <w:sz w:val="22"/>
          <w:szCs w:val="22"/>
        </w:rPr>
        <w:t xml:space="preserv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0685CE48" w:rsidR="00676E11" w:rsidRPr="009646BB" w:rsidRDefault="00272386"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t>SUGGESTED CHANGE: Evaluation Material. All oral and written (both hard copy and electronic) information concerning the Company, any predecessor entity or any subsidiary or other affiliate of the Company which is furnished or made available to you and your Representatives (as defined below)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“Evaluation Material.” You acknowledge that the Evaluation Material may include information in oral or in written format, graphic or machine readable form, and may include, without limitation, information concerning the Company, its subsidiaries, affiliates or their respective equityholders and their respective businesses, financial structure, financial or business plans or strategies, revenues, earnings or profits, executives, employees, products, intellectual property, content, information technology or infrastructure.  Notwithstanding the foregoing, “Evaluation Material” does not include any information that you can demonstrate by written records (a) is or becomes a matter of public knowledge, except as a result of any disclosure by you or any of your Representatives in breach of this Agreement, (b) was available to you on a non-confidential basis from a source that is not and was not prohibited from disclosing such information to you by a contractual, legal or fiduciary obligation; (c) is disclosed by you or your Representatives with the Company’s prior written approval; or (d) is independently developed by you or your Representatives without use of Evaluation Material. [This clause has been identified as potentially problematic and should be reviewed]</w:t>
      </w:r>
    </w:p>
    <w:p w14:paraId="3DEE1AF2" w14:textId="0803DFA5"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t>SUGGESTED CHANGE: Permitted Use. You shall use the Evaluation Material solely for the purpose of evaluating the Strategic Transaction and you shall keep the Evaluation Material confidential, except that you may disclose the Evaluation Material or portions thereof to those of your directors, officers and employees, agents and advisors (including attorneys, accountants, consultants and financial advisors) (collectively, “Representatives”) who need to know such information for the purpose of evaluating the Strategic Transaction; provided that, except pursuant to Section 3 below, in no event shall you disclose any Evaluation Material to any Representative) unless such receiving party acknowledges and agrees that it has an obligation to protect Evaluation Material that is at least the same degree of care as required by you pursuant to this Agreement.  You shall take, at your own expense, all actions necessary to restrain your Representatives from making any use or disclosure of any Evaluation Material in breach of this Agreement, and you shall be responsible for any breach of this Agreement by your Representatives.  You agree to use, 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reasonably cooperate with the Company to regain possession of Evaluation Material and prevent any further unauthorized disclosure or use.   [This clause has been identified as potentially problematic and should be reviewed]</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t>SUGGESTED CHANGE: Required Disclosure. If you or any of your Representatives is required (by deposition, interrogatory, request for documents, subpoena, civil investigative demand or similar process) to disclose any of the Evaluation Material, you shall provide the Company with prior written notice of such requirement as soon as practicable after learning of it, shall furnish only that portion of the Evaluation Material which you are advised by counsel is legally required and only in the manner legally required, and shall exercise your best efforts to obtain assurance that confidential treatment will be accorded such Evaluation Material.  In addition, you acknowledge that the Company Parties (as defined below) may also take steps as they deem necessary to obtain such assurance.  By making Evaluation Material or other information available to you or your Representatives, the Company Parties are not, and shall not be deemed to be, granting (expressly or by implication) to you or your Representatives any license or other right under or with respect to any patent, trade secret, copyright, trademark or other proprietary or intellectual property right.  For purposes of this Agreement, the term “Company Parties” will be deemed to refer to the Company and each of its affiliates, representatives (including the Financial Advisor), equityholders, directors, officers, and employees [This clause has been identified as potentially problematic and should be reviewed]</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Return of Evaluation Material. If the Company so requests, you shall promptly, or in any event, within ten (10) days following such request, at the option of the Company, return to the Company all copies of Evaluation Material furnished to you or your Representatives by or on behalf of the Company or created by you or your Representatives that is in your possession or in the possession of your Representatives; provided, that you and your Representatives shall be permitted to retain a copy of any Evaluation Material to the extent (i) it is “backed-up” on electronic information management or communications systems or servers of you or your Representatives or (iii) that such retention is required by applicable law, regulation or bona fide document retention policy, and all such Evaluation Material that is so retained by you or your Representatives solely in accordance with this Agreement shall be held subject to the terms of this Agreement.  You agree to confirm in writing, if so requested by the Company, your compliance with the provisions of this paragraph once you have been requested to return and/or destroy all Evaluation Material. [This clause has been identified as potentially problematic and should be reviewed]</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t>SUGGESTED CHANGE: Publicity. Without the prior written consent of the Company, you shall not, and shall direct your Representatives not to, disclose to any person or entity (“Person”) (a) that any investigations, discussions or negotiations are taking place concerning a possible Strategic Transaction, (b) that you have requested or received any Evaluation Material or (c) any of the terms, conditions or other facts with respect to the Strategic Transaction or your possible participation in it, including the status thereof (clauses (a) through (c), “Transaction Information”).  You acknowledge and agree that such Transaction Information shall constitute Evaluation Material for purposes of this Agreement. [This clause has been identified as potentially problematic and should be reviewed]</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Coordination with Third Parties. You acknowledge and agree that, without the prior written consent of the Company, no Person who is a potential principal, co-investor, co-bidder or equity or debt financing source with respect to a possible Strategic Transaction, in each case, that is not controlled by or under common control with you, shall be considered your Representative for any purpose hereunder.  Without the Company’s prior written consent, you agree that you will not, directly or indirectly, solicit, coordinate with or otherwise partner with any other Person with respect to participating in the Strategic Transaction as a principal, co-investor, co-bidder or equity or debt financing source or enter into any agreement, arrangement or understanding with any other Person regarding such a Strategic Transaction.  You further agree that you will not, without the prior written consent of the Company, directly or indirectly, enter into any agreement, arrangement or understanding with any Person that has or would have the effect of requiring such Person to provide you or any of your affiliates or related parties with financing or other potential sources of capital on an exclusive basis in connection with a possible Strategic Transaction. [This clause has been identified as potentially problematic and should be reviewed]</w:t>
      </w:r>
    </w:p>
    <w:p w14:paraId="207306BE" w14:textId="73993B1C"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Non-Solicitation. For a period of four (4) year from the date hereof, you shall not, directly or indirectly, solicit or hire any employee of the Company or any of its subsidiaries with whom you have had contact during the period of your investigation of the Company and its business or whose identity you learned during such period; provided, that, the foregoing restrictions shall not apply to (a) solicitation through general advertising or other general solicitation not targeted to the employees of the Company (including through a search firm) or (b) solicitation with respect to, or hiring, any person whose employment with the Company or its subsidiaries has been terminated for a period of at least six (6) months at the time of such solicitation (or if no solicitation is made, at the time of such hiring). [This clause has been identified as potentially problematic and should be reviewed]</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Direction of Requests. You hereby acknowledge and agree that all requests for information, tours and meetings, all questions or discussions relating to the procedures in making a proposal and all communications regarding the Strategic Transaction will be directed to the Financial Advisor.  You further acknowledge and agree that (i) the Company shall have no obligation to authorize or pursue any Strategic Transaction, (ii) the Company has not authorized or made any decision to pursue or engage in any Strategic Transaction and (iii) the Company reserves the right, in its sole and absolute discretion and without giving any reason therefor, to reject all proposals and to terminate discussions and negotiations, in each case at any time, regarding any Strategic Transaction.  This Agreement does not constitute or create any obligation of any of the Company Parties 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the Company Parties arising out of or relating to the manner in which any Company Party conducts or pursues such a Strategic Transaction. [This clause has been identified as potentially problematic and should be reviewed]</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4980C33D"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Compliance with Laws. You acknowledge your obligation to 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All Evaluation Material (including all copies thereof) shall remain at all times the property of the Company Parties, and no property rights, license or other rights to any Evaluation Material or any information, data or other intellectual property set forth or referenced therein, is granted or implied hereby.  Nothing in this Agreement grants you any right to retain, distribute or commercialize any Evaluation Material.   [This clause has been identified as potentially problematic and should be reviewed]</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Governing Law. This Agreement and all controversies arising from or relating to performance under this Agreement shall be governed by and construed in accordance with the laws of the State of Texas, without giving effect to its conflicts of laws principles. [This clause has been identified as potentially problematic and should be reviewed]</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Injunctive Relief. You hereby acknowledge and agree that money damages would not be a sufficient remedy for any breach or attempted breach of the provisions of this Agreement and that the Company Parties shall be entitled to equitable relief, including in the form of injunctions and orders for specific performance, for any such breach or attempted breach, in addition to all other remedies available to the Company Parties at law or in equity.  You hereby irrevocably and unconditionally consent to submit to the jurisdiction of the state and federal courts located in the State of Delaware for any actions, suits or proceedings arising out of or relating to this Agreement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Agreement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If any litigation or other court action, arbitration or similar adjudicatory proceeding is commenced by any party to enforce its rights under this Agreement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 non-appealable order; provided, that if a party to such proceeding prevails in part, and loses in part, the court, arbitrator or other adjudicator presiding over such proceeding shall award a reimbursement of the fees, costs and expenses incurred by such party on an equitable basis. [This clause has been identified as potentially problematic and should be reviewed]</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No Waivers. No failure or delay by the any party in exercising any right, power or privilege hereunder will operate as a waiver thereof, nor will any single or partial exercise thereof preclude any other or further exercise thereof or the exercise of any other right, power or privilege hereunder.   [This clause has been identified as potentially problematic and should be reviewed]</w:t>
      </w:r>
    </w:p>
    <w:p w14:paraId="09033E36" w14:textId="5A912B4A"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t>SUGGESTED CHANGE: Amendment. This Agreement can only be modified or waived in writing executed by the Company and you; provided, that this Agreement shall not be subsequently limited or amended by any “clickthrough” agreement relating to the confidentiality of the Evaluation Material agreed to by you or your Representatives in connection with your or their access to any data site or virtual data room maintained in connection with the Strategic Transaction. [This clause has been identified as potentially problematic and should be reviewed]</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t>SUGGESTED CHANGE: Term. This Agreement and all of the obligations under this Agreement shall terminate five (5) years from the date hereof. [This clause has been identified as potentially problematic and should be reviewed]</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Successors and Assigns. This Agreement is for the benefit of the Company Parties and their successors and assigns.  In no event shall you assign any of your obligations hereunder without the Company’s prior written consent, and any attempted assignment without such consent shall be null and void.   [This clause has been identified as potentially problematic and should be reviewed]</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[Signature Page Follows] [This clause has been identified as potentially problematic and should be reviewed]</w:t>
      </w:r>
    </w:p>
    <w:p w14:paraId="11C93847" w14:textId="00B63D46"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t>SUGGESTED CHANGE: If you agree with the foregoing, please sign this Agreement and return it to me, which shall thereupon constitute our Agreement with respect to the subject matter of this letter. [This clause has been identified as potentially problematic and should be reviewed]</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t>SUGGESTED CHANGE: Company X [This clause has been identified as potentially problematic and should be reviewed]</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t>SUGGESTED CHANGE: By:</w:t>
        <w:tab/>
        <w:tab/>
        <w:t xml:space="preserve"> [This clause has been identified as potentially problematic and should be reviewed]</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707EE355" w:rsidR="00676E11" w:rsidRPr="008029E7" w:rsidRDefault="00A64C7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0" w:name="Verdatum"/>
      <w:bookmarkEnd w:id="0"/>
      <w:r>
        <w:rPr>
          <w:b/>
          <w:bCs/>
          <w:sz w:val="22"/>
          <w:szCs w:val="22"/>
        </w:rPr>
        <w:t>Company X</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t>SUGGESTED CHANGE: By:</w:t>
        <w:tab/>
        <w:tab/>
        <w:t xml:space="preserve"> [This clause has been identified as potentially problematic and should be reviewed]</w:t>
      </w:r>
    </w:p>
    <w:p w14:paraId="1B952A12" w14:textId="77777777" w:rsidR="00676E11" w:rsidRPr="00DF3477" w:rsidRDefault="00272386" w:rsidP="004230E0">
      <w:pPr>
        <w:tabs>
          <w:tab w:val="left" w:pos="450"/>
          <w:tab w:val="right" w:pos="4680"/>
        </w:tabs>
        <w:jc w:val="both"/>
        <w:rPr>
          <w:sz w:val="22"/>
          <w:szCs w:val="22"/>
        </w:rPr>
      </w:pPr>
      <w:r>
        <w:t>SUGGESTED CHANGE: Max Muster [This clause has been identified as potentially problematic and should be reviewed]</w:t>
      </w:r>
    </w:p>
    <w:p w14:paraId="447BC636" w14:textId="77A4392F"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A64C7A">
        <w:rPr>
          <w:sz w:val="22"/>
          <w:szCs w:val="22"/>
        </w:rPr>
        <w:t>Maxime</w:t>
      </w:r>
      <w:r w:rsidR="00830567" w:rsidRPr="00830567">
        <w:rPr>
          <w:sz w:val="22"/>
          <w:szCs w:val="22"/>
        </w:rPr>
        <w:t xml:space="preserve"> </w:t>
      </w:r>
      <w:r w:rsidR="00A64C7A">
        <w:rPr>
          <w:sz w:val="22"/>
          <w:szCs w:val="22"/>
        </w:rPr>
        <w:t>Muster</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7CF8E98E" w:rsidR="00676E11" w:rsidRPr="009378B7" w:rsidRDefault="00A64C7A" w:rsidP="00327B80">
      <w:pPr>
        <w:tabs>
          <w:tab w:val="right" w:pos="4680"/>
        </w:tabs>
        <w:ind w:left="450"/>
        <w:jc w:val="both"/>
        <w:rPr>
          <w:sz w:val="22"/>
          <w:szCs w:val="22"/>
          <w:lang w:val="de-CH"/>
        </w:rPr>
      </w:pPr>
      <w:r>
        <w:rPr>
          <w:sz w:val="22"/>
          <w:szCs w:val="22"/>
          <w:lang w:val="de-CH"/>
        </w:rPr>
        <w:t>Max</w:t>
      </w:r>
      <w:r w:rsidR="009646BB" w:rsidRPr="009378B7">
        <w:rPr>
          <w:sz w:val="22"/>
          <w:szCs w:val="22"/>
          <w:lang w:val="de-CH"/>
        </w:rPr>
        <w:t xml:space="preserve"> </w:t>
      </w:r>
      <w:r>
        <w:rPr>
          <w:sz w:val="22"/>
          <w:szCs w:val="22"/>
          <w:lang w:val="de-CH"/>
        </w:rPr>
        <w:t>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EA0E" w14:textId="77777777" w:rsidR="0039145B" w:rsidRDefault="0039145B">
      <w:r>
        <w:separator/>
      </w:r>
    </w:p>
  </w:endnote>
  <w:endnote w:type="continuationSeparator" w:id="0">
    <w:p w14:paraId="7374F9C4" w14:textId="77777777" w:rsidR="0039145B" w:rsidRDefault="003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39145B">
    <w:pPr>
      <w:pStyle w:val="Fuzeile"/>
    </w:pPr>
    <w:r>
      <w:rPr>
        <w:noProof/>
      </w:rPr>
      <w:pict w14:anchorId="1C3FA095">
        <v:shapetype id="_x0000_t202" coordsize="21600,21600" o:spt="202" path="m,l,21600r21600,l21600,xe">
          <v:stroke joinstyle="miter"/>
          <v:path gradientshapeok="t" o:connecttype="rect"/>
        </v:shapetype>
        <v:shape id="Text Box 2"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39145B">
    <w:pPr>
      <w:pStyle w:val="Fuzeile"/>
    </w:pPr>
    <w:r>
      <w:rPr>
        <w:noProof/>
      </w:rPr>
      <w:pict w14:anchorId="0DD13B57">
        <v:shapetype id="_x0000_t202" coordsize="21600,21600" o:spt="202" path="m,l,21600r21600,l21600,xe">
          <v:stroke joinstyle="miter"/>
          <v:path gradientshapeok="t" o:connecttype="rect"/>
        </v:shapetype>
        <v:shape id="Text Box 1" o:spid="_x0000_s1025"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7A7B" w14:textId="77777777" w:rsidR="0039145B" w:rsidRDefault="0039145B">
      <w:r>
        <w:separator/>
      </w:r>
    </w:p>
  </w:footnote>
  <w:footnote w:type="continuationSeparator" w:id="0">
    <w:p w14:paraId="30721955" w14:textId="77777777" w:rsidR="0039145B" w:rsidRDefault="003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145B"/>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D6E92"/>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1C3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203EA"/>
    <w:rsid w:val="00924F7E"/>
    <w:rsid w:val="009301D1"/>
    <w:rsid w:val="00930935"/>
    <w:rsid w:val="009368A9"/>
    <w:rsid w:val="009378B7"/>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4C7A"/>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E1406"/>
    <w:rsid w:val="00BE39B7"/>
    <w:rsid w:val="00BF3CEC"/>
    <w:rsid w:val="00C038BE"/>
    <w:rsid w:val="00C04D41"/>
    <w:rsid w:val="00C238F8"/>
    <w:rsid w:val="00C24D14"/>
    <w:rsid w:val="00C417BD"/>
    <w:rsid w:val="00C5711F"/>
    <w:rsid w:val="00C57795"/>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3DD6"/>
    <w:rsid w:val="00EE5C24"/>
    <w:rsid w:val="00EE6282"/>
    <w:rsid w:val="00EF6231"/>
    <w:rsid w:val="00EF77C0"/>
    <w:rsid w:val="00F14D78"/>
    <w:rsid w:val="00F348A4"/>
    <w:rsid w:val="00F41E76"/>
    <w:rsid w:val="00F55868"/>
    <w:rsid w:val="00F70AAE"/>
    <w:rsid w:val="00F87B75"/>
    <w:rsid w:val="00F87BAD"/>
    <w:rsid w:val="00F908EE"/>
    <w:rsid w:val="00F909EF"/>
    <w:rsid w:val="00FA19BF"/>
    <w:rsid w:val="00FA2B23"/>
    <w:rsid w:val="00FD0E01"/>
    <w:rsid w:val="00FD172D"/>
    <w:rsid w:val="00FE06FB"/>
    <w:rsid w:val="00FE7978"/>
    <w:rsid w:val="00FF1209"/>
    <w:rsid w:val="00FF6F12"/>
    <w:rsid w:val="12C04ABF"/>
    <w:rsid w:val="44482BBF"/>
    <w:rsid w:val="4A163F0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486ACC15-0EF3-4EF1-A358-072CFEC527FD}">
  <ds:schemaRefs>
    <ds:schemaRef ds:uri="http://schemas.microsoft.com/sharepoint/v3/contenttype/forms"/>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2352</Words>
  <Characters>14821</Characters>
  <Application>Microsoft Office Word</Application>
  <DocSecurity>0</DocSecurity>
  <Lines>123</Lines>
  <Paragraphs>34</Paragraphs>
  <ScaleCrop>false</ScaleCrop>
  <Company>Moelis &amp; Company</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6</cp:revision>
  <cp:lastPrinted>1900-01-01T08:00:00Z</cp:lastPrinted>
  <dcterms:created xsi:type="dcterms:W3CDTF">2025-04-01T12:02:00Z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