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rPr>
          <w:lang w:val="it"/>
        </w:rPr>
        <w:t xml:space="preserve">synthetic (Claude)</w:t>
      </w:r>
    </w:p>
    <w:bookmarkStart w:id="19" w:name="alfa-componenti-s.p.a.-budget-2026"/>
    <w:p>
      <w:pPr>
        <w:pStyle w:val="Heading1"/>
      </w:pPr>
      <w:r>
        <w:rPr>
          <w:lang w:val="it"/>
        </w:rPr>
        <w:t xml:space="preserve">Alfa Componenti S.p.A. — Budget 2026</w:t>
      </w:r>
    </w:p>
    <w:p>
      <w:pPr>
        <w:pStyle w:val="FirstParagraph"/>
      </w:pPr>
      <w:r>
        <w:rPr>
          <w:b/>
          <w:bCs/>
          <w:lang w:val="it"/>
        </w:rPr>
        <w:t xml:space="preserve">Classificazione:</w:t>
      </w:r>
      <w:r>
        <w:rPr>
          <w:lang w:val="it"/>
        </w:rPr>
        <w:t xml:space="preserve"> </w:t>
      </w:r>
      <w:r>
        <w:rPr>
          <w:lang w:val="it"/>
        </w:rPr>
        <w:t xml:space="preserve">internal. Documento sintetico di misura: società, persone e cifre sono inventati.</w:t>
      </w:r>
    </w:p>
    <w:bookmarkStart w:id="9" w:name="premessa"/>
    <w:p>
      <w:pPr>
        <w:pStyle w:val="Heading2"/>
      </w:pPr>
      <w:r>
        <w:rPr>
          <w:lang w:val="it"/>
        </w:rPr>
        <w:t xml:space="preserve">1. Premessa</w:t>
      </w:r>
    </w:p>
    <w:p>
      <w:pPr>
        <w:pStyle w:val="FirstParagraph"/>
      </w:pPr>
      <w:r>
        <w:rPr>
          <w:lang w:val="it"/>
        </w:rPr>
        <w:t xml:space="preserve">Il budget 2026 di Alfa Componenti S.p.A. è stato predisposto dalla Direzione Amministrazione, Finanza e Controllo e approvato dal Consiglio di Amministrazione nella riunione del 12 dicembre 2025. Il documento è a uso interno: circola fra i responsabili di divisione e le funzioni di staff e non si comunica all’esterno.</w:t>
      </w:r>
    </w:p>
    <w:p>
      <w:pPr>
        <w:pStyle w:val="BodyText"/>
      </w:pPr>
      <w:r>
        <w:rPr>
          <w:lang w:val="it"/>
        </w:rPr>
        <w:t xml:space="preserve">Il punto di partenza è il preconsuntivo 2025, che chiude con ricavi consolidati di 182,4 milioni di euro, un EBITDA di 27,1 milioni (margine del 14,9%) e un utile netto di 9,8 milioni.</w:t>
      </w:r>
    </w:p>
    <w:bookmarkEnd w:id="9"/>
    <w:bookmarkStart w:id="12" w:name="ipotesi-di-base"/>
    <w:p>
      <w:pPr>
        <w:pStyle w:val="Heading2"/>
      </w:pPr>
      <w:r>
        <w:rPr>
          <w:lang w:val="it"/>
        </w:rPr>
        <w:t xml:space="preserve">2. Ipotesi di base</w:t>
      </w:r>
    </w:p>
    <w:bookmarkStart w:id="10" w:name="scenario-di-mercato"/>
    <w:p>
      <w:pPr>
        <w:pStyle w:val="Heading3"/>
      </w:pPr>
      <w:r>
        <w:rPr>
          <w:lang w:val="it"/>
        </w:rPr>
        <w:t xml:space="preserve">2.1 Scenario di mercato</w:t>
      </w:r>
    </w:p>
    <w:p>
      <w:pPr>
        <w:pStyle w:val="FirstParagraph"/>
      </w:pPr>
      <w:r>
        <w:rPr>
          <w:lang w:val="it"/>
        </w:rPr>
        <w:t xml:space="preserve">Il budget assume una crescita della domanda di componenti meccanici di precisione del 5% e una crescita dell’elettronica di potenza del 10%. Il prezzo medio dell’acciaio si considera stabile rispetto al quarto trimestre 2025.</w:t>
      </w:r>
    </w:p>
    <w:bookmarkEnd w:id="10"/>
    <w:bookmarkStart w:id="11" w:name="cambi-e-costo-del-personale"/>
    <w:p>
      <w:pPr>
        <w:pStyle w:val="Heading3"/>
      </w:pPr>
      <w:r>
        <w:rPr>
          <w:lang w:val="it"/>
        </w:rPr>
        <w:t xml:space="preserve">2.2 Cambi e costo del personale</w:t>
      </w:r>
    </w:p>
    <w:p>
      <w:pPr>
        <w:pStyle w:val="FirstParagraph"/>
      </w:pPr>
      <w:r>
        <w:rPr>
          <w:lang w:val="it"/>
        </w:rPr>
        <w:t xml:space="preserve">Il cambio di riferimento euro/dollaro è 1,10. Il costo del personale cresce del 3,2% per effetto del rinnovo contrattuale e di 35 assunzioni nette, che portano l’organico medio da 1.140 a 1.175 persone.</w:t>
      </w:r>
    </w:p>
    <w:bookmarkEnd w:id="11"/>
    <w:bookmarkEnd w:id="12"/>
    <w:bookmarkStart w:id="13" w:name="ricavi-per-divisione"/>
    <w:p>
      <w:pPr>
        <w:pStyle w:val="Heading2"/>
      </w:pPr>
      <w:r>
        <w:rPr>
          <w:lang w:val="it"/>
        </w:rPr>
        <w:t xml:space="preserve">3. Ricavi per divisione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it"/>
              </w:rPr>
              <w:t xml:space="preserve">Divisione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Preconsuntivo 2025 (M€)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Budget 2026 (M€)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Variazione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t"/>
              </w:rPr>
              <w:t xml:space="preserve">Meccanica di precisione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103,1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108,0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+4,8%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t"/>
              </w:rPr>
              <w:t xml:space="preserve">Elettronica di potenza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56,8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62,5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+10,0%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t"/>
              </w:rPr>
              <w:t xml:space="preserve">Servizi e ricambi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22,5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25,5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+13,3%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it"/>
              </w:rPr>
              <w:t xml:space="preserve">Totale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it"/>
              </w:rPr>
              <w:t xml:space="preserve">182,4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it"/>
              </w:rPr>
              <w:t xml:space="preserve">196,0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it"/>
              </w:rPr>
              <w:t xml:space="preserve">+7,5%</w:t>
            </w:r>
          </w:p>
        </w:tc>
      </w:tr>
    </w:tbl>
    <w:p>
      <w:r>
        <w:br w:type="page"/>
      </w:r>
    </w:p>
    <w:bookmarkEnd w:id="13"/>
    <w:bookmarkStart w:id="17" w:name="conto-economico-di-budget"/>
    <w:p>
      <w:pPr>
        <w:pStyle w:val="Heading2"/>
      </w:pPr>
      <w:r>
        <w:rPr>
          <w:lang w:val="it"/>
        </w:rPr>
        <w:t xml:space="preserve">4. Conto economico di budget</w:t>
      </w:r>
    </w:p>
    <w:bookmarkStart w:id="14" w:name="margini"/>
    <w:p>
      <w:pPr>
        <w:pStyle w:val="Heading3"/>
      </w:pPr>
      <w:r>
        <w:rPr>
          <w:lang w:val="it"/>
        </w:rPr>
        <w:t xml:space="preserve">4.1 Margini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it"/>
              </w:rPr>
              <w:t xml:space="preserve">Voce (M€)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Preconsuntivo 2025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Budget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t"/>
              </w:rPr>
              <w:t xml:space="preserve">Ricavi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182,4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196,0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t"/>
              </w:rPr>
              <w:t xml:space="preserve">EBITDA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27,1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30,4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t"/>
              </w:rPr>
              <w:t xml:space="preserve">Margine EBITDA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14,9%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15,5%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t"/>
              </w:rPr>
              <w:t xml:space="preserve">Ammortamenti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11,2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12,0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t"/>
              </w:rPr>
              <w:t xml:space="preserve">EBIT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15,9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18,4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t"/>
              </w:rPr>
              <w:t xml:space="preserve">Utile netto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9,8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11,6</w:t>
            </w:r>
          </w:p>
        </w:tc>
      </w:tr>
    </w:tbl>
    <w:bookmarkEnd w:id="14"/>
    <w:bookmarkStart w:id="15" w:name="investimenti"/>
    <w:p>
      <w:pPr>
        <w:pStyle w:val="Heading3"/>
      </w:pPr>
      <w:r>
        <w:rPr>
          <w:lang w:val="it"/>
        </w:rPr>
        <w:t xml:space="preserve">4.2 Investimenti</w:t>
      </w:r>
    </w:p>
    <w:p>
      <w:pPr>
        <w:pStyle w:val="FirstParagraph"/>
      </w:pPr>
      <w:r>
        <w:rPr>
          <w:lang w:val="it"/>
        </w:rPr>
        <w:t xml:space="preserve">Gli investimenti (capex) previsti per il 2026 ammontano a 14,5 milioni di euro: 8,0 milioni per la nuova linea di rettifica dello stabilimento di Borgoalto, 4,0 milioni per l’automazione del magazzino ricambi e 2,5 milioni per sistemi informativi.</w:t>
      </w:r>
    </w:p>
    <w:bookmarkEnd w:id="15"/>
    <w:bookmarkStart w:id="16" w:name="posizione-finanziaria-netta"/>
    <w:p>
      <w:pPr>
        <w:pStyle w:val="Heading3"/>
      </w:pPr>
      <w:r>
        <w:rPr>
          <w:lang w:val="it"/>
        </w:rPr>
        <w:t xml:space="preserve">4.3 Posizione finanziaria netta</w:t>
      </w:r>
    </w:p>
    <w:p>
      <w:pPr>
        <w:pStyle w:val="FirstParagraph"/>
      </w:pPr>
      <w:r>
        <w:rPr>
          <w:lang w:val="it"/>
        </w:rPr>
        <w:t xml:space="preserve">La posizione finanziaria netta (PFN) passa da 41,3 milioni di fine 2025 a 36,8 milioni di fine 2026, grazie a un flusso di cassa operativo di 19,0 milioni al netto degli investimenti di mantenimento.</w:t>
      </w:r>
    </w:p>
    <w:bookmarkEnd w:id="16"/>
    <w:bookmarkEnd w:id="17"/>
    <w:bookmarkStart w:id="18" w:name="responsabilità-e-controllo"/>
    <w:p>
      <w:pPr>
        <w:pStyle w:val="Heading2"/>
      </w:pPr>
      <w:r>
        <w:rPr>
          <w:lang w:val="it"/>
        </w:rPr>
        <w:t xml:space="preserve">5. Responsabilità e controllo</w:t>
      </w:r>
    </w:p>
    <w:p>
      <w:pPr>
        <w:pStyle w:val="FirstParagraph"/>
      </w:pPr>
      <w:r>
        <w:rPr>
          <w:lang w:val="it"/>
        </w:rPr>
        <w:t xml:space="preserve">Ogni responsabile di divisione riceve il proprio budget mensilizzato. Gli scostamenti superiori al 5% sui ricavi o al 10% sui costi si spiegano nel report mensile di controllo di gestione.</w:t>
      </w:r>
    </w:p>
    <w:p>
      <w:pPr>
        <w:pStyle w:val="BodyText"/>
      </w:pPr>
      <w:r>
        <w:rPr>
          <w:b/>
          <w:bCs/>
          <w:lang w:val="it"/>
        </w:rPr>
        <w:t xml:space="preserve">Modifica:</w:t>
      </w:r>
      <w:r>
        <w:rPr>
          <w:lang w:val="it"/>
        </w:rPr>
        <w:t xml:space="preserve"> </w:t>
      </w:r>
      <w:r>
        <w:rPr>
          <w:lang w:val="it"/>
        </w:rPr>
        <w:t xml:space="preserve">Claude (gsd-executor, Anthropic) · 2026-10-20 · documento sintetico del corpus degli spike (piano 01-03)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synthetic (Claude)</dc:creator>
  <dc:language>it</dc:language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doc_id">
    <vt:lpwstr>syn-01-budget-interno</vt:lpwstr>
  </property>
</Properties>
</file>