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rPr>
          <w:lang w:val="it"/>
        </w:rPr>
        <w:t xml:space="preserve">synthetic (Claude)</w:t>
      </w:r>
    </w:p>
    <w:bookmarkStart w:id="20" w:name="X77eeea333dad007974f1c143ad3b4ecfd79b08f"/>
    <w:p>
      <w:pPr>
        <w:pStyle w:val="Heading1"/>
      </w:pPr>
      <w:r>
        <w:rPr>
          <w:lang w:val="it"/>
        </w:rPr>
        <w:t xml:space="preserve">Alfa Componenti S.p.A. — Piano industriale 2026-2028</w:t>
      </w:r>
    </w:p>
    <w:p>
      <w:pPr>
        <w:pStyle w:val="FirstParagraph"/>
      </w:pPr>
      <w:r>
        <w:rPr>
          <w:b/>
          <w:bCs/>
          <w:lang w:val="it"/>
        </w:rPr>
        <w:t xml:space="preserve">Classificazione:</w:t>
      </w:r>
      <w:r>
        <w:rPr>
          <w:lang w:val="it"/>
        </w:rPr>
        <w:t xml:space="preserve"> </w:t>
      </w:r>
      <w:r>
        <w:rPr>
          <w:lang w:val="it"/>
        </w:rPr>
        <w:t xml:space="preserve">confidential. Documento sintetico di misura: società, persone e cifre sono inventati.</w:t>
      </w:r>
    </w:p>
    <w:bookmarkStart w:id="9" w:name="sintesi"/>
    <w:p>
      <w:pPr>
        <w:pStyle w:val="Heading2"/>
      </w:pPr>
      <w:r>
        <w:rPr>
          <w:lang w:val="it"/>
        </w:rPr>
        <w:t xml:space="preserve">1. Sintesi</w:t>
      </w:r>
    </w:p>
    <w:p>
      <w:pPr>
        <w:pStyle w:val="FirstParagraph"/>
      </w:pPr>
      <w:r>
        <w:rPr>
          <w:lang w:val="it"/>
        </w:rPr>
        <w:t xml:space="preserve">Il piano industriale 2026-2028 porta i ricavi consolidati da 182,4 milioni di euro (preconsuntivo 2025) a 238,0 milioni nel 2028, con un tasso medio annuo di crescita del 9,3%. Il margine EBITDA sale dal 14,9% al 17,0%. La crescita viene per due terzi dallo sviluppo organico e per un terzo dall’acquisizione di una società di sensoristica, in codice «Operazione Beta».</w:t>
      </w:r>
    </w:p>
    <w:bookmarkEnd w:id="9"/>
    <w:bookmarkStart w:id="13" w:name="linee-strategiche"/>
    <w:p>
      <w:pPr>
        <w:pStyle w:val="Heading2"/>
      </w:pPr>
      <w:r>
        <w:rPr>
          <w:lang w:val="it"/>
        </w:rPr>
        <w:t xml:space="preserve">2. Linee strategiche</w:t>
      </w:r>
    </w:p>
    <w:bookmarkStart w:id="10" w:name="elettronica-di-potenza"/>
    <w:p>
      <w:pPr>
        <w:pStyle w:val="Heading3"/>
      </w:pPr>
      <w:r>
        <w:rPr>
          <w:lang w:val="it"/>
        </w:rPr>
        <w:t xml:space="preserve">2.1 Elettronica di potenza</w:t>
      </w:r>
    </w:p>
    <w:p>
      <w:pPr>
        <w:pStyle w:val="FirstParagraph"/>
      </w:pPr>
      <w:r>
        <w:rPr>
          <w:lang w:val="it"/>
        </w:rPr>
        <w:t xml:space="preserve">L’elettronica di potenza diventa la seconda gamba del gruppo: i ricavi della divisione passano da 56,8 milioni nel 2025 a 92,0 milioni nel 2028, anche grazie all’integrazione della società acquisita.</w:t>
      </w:r>
    </w:p>
    <w:bookmarkEnd w:id="10"/>
    <w:bookmarkStart w:id="11" w:name="servizi-e-ricambi"/>
    <w:p>
      <w:pPr>
        <w:pStyle w:val="Heading3"/>
      </w:pPr>
      <w:r>
        <w:rPr>
          <w:lang w:val="it"/>
        </w:rPr>
        <w:t xml:space="preserve">2.2 Servizi e ricambi</w:t>
      </w:r>
    </w:p>
    <w:p>
      <w:pPr>
        <w:pStyle w:val="FirstParagraph"/>
      </w:pPr>
      <w:r>
        <w:rPr>
          <w:lang w:val="it"/>
        </w:rPr>
        <w:t xml:space="preserve">Il piano estende i contratti di manutenzione programmata ai clienti con più di cinque anni di installato. L’obiettivo è portare i servizi al 14% dei ricavi.</w:t>
      </w:r>
    </w:p>
    <w:bookmarkEnd w:id="11"/>
    <w:bookmarkStart w:id="12" w:name="efficienza-produttiva"/>
    <w:p>
      <w:pPr>
        <w:pStyle w:val="Heading3"/>
      </w:pPr>
      <w:r>
        <w:rPr>
          <w:lang w:val="it"/>
        </w:rPr>
        <w:t xml:space="preserve">2.3 Efficienza produttiva</w:t>
      </w:r>
    </w:p>
    <w:p>
      <w:pPr>
        <w:pStyle w:val="FirstParagraph"/>
      </w:pPr>
      <w:r>
        <w:rPr>
          <w:lang w:val="it"/>
        </w:rPr>
        <w:t xml:space="preserve">Lo stabilimento di Borgoalto concentra le lavorazioni meccaniche di precisione. Il programma di efficienza vale 4,2 milioni di risparmi annui a regime dal 2028.</w:t>
      </w:r>
    </w:p>
    <w:bookmarkEnd w:id="12"/>
    <w:bookmarkEnd w:id="13"/>
    <w:bookmarkStart w:id="14" w:name="obiettivi-economici"/>
    <w:p>
      <w:pPr>
        <w:pStyle w:val="Heading2"/>
      </w:pPr>
      <w:r>
        <w:rPr>
          <w:lang w:val="it"/>
        </w:rPr>
        <w:t xml:space="preserve">3. Obiettivi economici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it"/>
              </w:rPr>
              <w:t xml:space="preserve">Voce (M€)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2025 preconsuntivo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2026 budget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2027 piano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2028 piano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Ricavi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182,4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196,0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219,0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238,0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27,1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30,4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35,9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40,5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Margine EBITDA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14,9%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15,5%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16,4%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17,0%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Capex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12,3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14,5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17,5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16,0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PFN di fine anno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41,3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36,8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58,1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44,0</w:t>
            </w:r>
          </w:p>
        </w:tc>
      </w:tr>
    </w:tbl>
    <w:p>
      <w:r>
        <w:br w:type="page"/>
      </w:r>
    </w:p>
    <w:bookmarkEnd w:id="14"/>
    <w:bookmarkStart w:id="18" w:name="operazione-beta"/>
    <w:p>
      <w:pPr>
        <w:pStyle w:val="Heading2"/>
      </w:pPr>
      <w:r>
        <w:rPr>
          <w:lang w:val="it"/>
        </w:rPr>
        <w:t xml:space="preserve">4. Operazione Beta</w:t>
      </w:r>
    </w:p>
    <w:bookmarkStart w:id="15" w:name="razionale"/>
    <w:p>
      <w:pPr>
        <w:pStyle w:val="Heading3"/>
      </w:pPr>
      <w:r>
        <w:rPr>
          <w:lang w:val="it"/>
        </w:rPr>
        <w:t xml:space="preserve">4.1 Razionale</w:t>
      </w:r>
    </w:p>
    <w:p>
      <w:pPr>
        <w:pStyle w:val="FirstParagraph"/>
      </w:pPr>
      <w:r>
        <w:rPr>
          <w:lang w:val="it"/>
        </w:rPr>
        <w:t xml:space="preserve">La società obiettivo, Beta Sensori S.r.l. (nome fittizio), produce sensori di corrente per inverter industriali e ha ricavi per circa 21 milioni di euro. L’integrazione porta competenze di progettazione che oggi Alfa compra all’esterno.</w:t>
      </w:r>
    </w:p>
    <w:bookmarkEnd w:id="15"/>
    <w:bookmarkStart w:id="16" w:name="valorizzazione-e-finanziamento"/>
    <w:p>
      <w:pPr>
        <w:pStyle w:val="Heading3"/>
      </w:pPr>
      <w:r>
        <w:rPr>
          <w:lang w:val="it"/>
        </w:rPr>
        <w:t xml:space="preserve">4.2 Valorizzazione e finanziamento</w:t>
      </w:r>
    </w:p>
    <w:p>
      <w:pPr>
        <w:pStyle w:val="FirstParagraph"/>
      </w:pPr>
      <w:r>
        <w:rPr>
          <w:lang w:val="it"/>
        </w:rPr>
        <w:t xml:space="preserve">Il piano assume un prezzo di 34,0 milioni di euro, pari a circa 8 volte l’EBITDA atteso della società obiettivo, pagato per 24,0 milioni con un finanziamento bancario a cinque anni e per 10,0 milioni con cassa disponibile. Il picco di PFN nel 2027 (58,1 milioni) riflette questo esborso.</w:t>
      </w:r>
    </w:p>
    <w:bookmarkEnd w:id="16"/>
    <w:bookmarkStart w:id="17" w:name="rischi-del-piano"/>
    <w:p>
      <w:pPr>
        <w:pStyle w:val="Heading3"/>
      </w:pPr>
      <w:r>
        <w:rPr>
          <w:lang w:val="it"/>
        </w:rPr>
        <w:t xml:space="preserve">4.3 Rischi del piano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it"/>
              </w:rPr>
              <w:t xml:space="preserve">Rischio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Impatto sull’EBITDA 2028</w:t>
            </w:r>
          </w:p>
        </w:tc>
        <w:tc>
          <w:tcPr/>
          <w:p>
            <w:pPr>
              <w:pStyle w:val="Compact"/>
            </w:pPr>
            <w:r>
              <w:rPr>
                <w:lang w:val="it"/>
              </w:rPr>
              <w:t xml:space="preserve">Mitigazione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Ritardo dell’Operazione Beta di dodici mesi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−3,1 M€</w:t>
            </w:r>
          </w:p>
        </w:tc>
        <w:tc>
          <w:tcPr/>
          <w:p>
            <w:pPr>
              <w:pStyle w:val="Compact"/>
            </w:pPr>
            <w:r>
              <w:rPr>
                <w:lang w:val="it"/>
              </w:rPr>
              <w:t xml:space="preserve">crescita organica anticipata in elettronica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Aumento del costo dell’acciaio del 15%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−2,4 M€</w:t>
            </w:r>
          </w:p>
        </w:tc>
        <w:tc>
          <w:tcPr/>
          <w:p>
            <w:pPr>
              <w:pStyle w:val="Compact"/>
            </w:pPr>
            <w:r>
              <w:rPr>
                <w:lang w:val="it"/>
              </w:rPr>
              <w:t xml:space="preserve">clausole di indicizzazione nei contratti quadro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it"/>
              </w:rPr>
              <w:t xml:space="preserve">Mancato rinnovo di un cliente automotive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it"/>
              </w:rPr>
              <w:t xml:space="preserve">−1,8 M€</w:t>
            </w:r>
          </w:p>
        </w:tc>
        <w:tc>
          <w:tcPr/>
          <w:p>
            <w:pPr>
              <w:pStyle w:val="Compact"/>
            </w:pPr>
            <w:r>
              <w:rPr>
                <w:lang w:val="it"/>
              </w:rPr>
              <w:t xml:space="preserve">diversificazione verso il settore ferroviario</w:t>
            </w:r>
          </w:p>
        </w:tc>
      </w:tr>
    </w:tbl>
    <w:bookmarkEnd w:id="17"/>
    <w:bookmarkEnd w:id="18"/>
    <w:bookmarkStart w:id="19" w:name="governance-del-piano"/>
    <w:p>
      <w:pPr>
        <w:pStyle w:val="Heading2"/>
      </w:pPr>
      <w:r>
        <w:rPr>
          <w:lang w:val="it"/>
        </w:rPr>
        <w:t xml:space="preserve">5. Governance del piano</w:t>
      </w:r>
    </w:p>
    <w:p>
      <w:pPr>
        <w:pStyle w:val="FirstParagraph"/>
      </w:pPr>
      <w:r>
        <w:rPr>
          <w:lang w:val="it"/>
        </w:rPr>
        <w:t xml:space="preserve">Il piano è riservato al Consiglio di Amministrazione, al Collegio Sindacale e alla prima linea manageriale. L’avanzamento si rendiconta al Consiglio ogni trimestre.</w:t>
      </w:r>
    </w:p>
    <w:p>
      <w:pPr>
        <w:pStyle w:val="BodyText"/>
      </w:pPr>
      <w:r>
        <w:rPr>
          <w:b/>
          <w:bCs/>
          <w:lang w:val="it"/>
        </w:rPr>
        <w:t xml:space="preserve">Modifica:</w:t>
      </w:r>
      <w:r>
        <w:rPr>
          <w:lang w:val="it"/>
        </w:rPr>
        <w:t xml:space="preserve"> </w:t>
      </w:r>
      <w:r>
        <w:rPr>
          <w:lang w:val="it"/>
        </w:rPr>
        <w:t xml:space="preserve">Claude (gsd-executor, Anthropic) · 2026-10-20 · documento sintetico del corpus degli spike (piano 01-03)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synthetic (Claude)</dc:creator>
  <dc:language>it</dc:language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confidential</vt:lpwstr>
  </property>
  <property fmtid="{D5CDD505-2E9C-101B-9397-08002B2CF9AE}" pid="3" name="doc_id">
    <vt:lpwstr>syn-02-piano-industriale-riservato</vt:lpwstr>
  </property>
</Properties>
</file>