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rPr>
          <w:lang w:val="en"/>
        </w:rPr>
        <w:t xml:space="preserve">synthetic (Claude)</w:t>
      </w:r>
    </w:p>
    <w:bookmarkStart w:id="21" w:name="X904f7364ad6066636dd166c98b92ad75dde6843"/>
    <w:p>
      <w:pPr>
        <w:pStyle w:val="Heading1"/>
      </w:pPr>
      <w:r>
        <w:rPr>
          <w:lang w:val="en"/>
        </w:rPr>
        <w:t xml:space="preserve">Alfa Componenti S.p.A. — Risk Report, Q4 2025</w:t>
      </w:r>
    </w:p>
    <w:p>
      <w:pPr>
        <w:pStyle w:val="FirstParagraph"/>
      </w:pPr>
      <w:r>
        <w:rPr>
          <w:b/>
          <w:bCs/>
          <w:lang w:val="en"/>
        </w:rPr>
        <w:t xml:space="preserve">Classification:</w:t>
      </w:r>
      <w:r>
        <w:rPr>
          <w:lang w:val="en"/>
        </w:rPr>
        <w:t xml:space="preserve"> </w:t>
      </w:r>
      <w:r>
        <w:rPr>
          <w:lang w:val="en"/>
        </w:rPr>
        <w:t xml:space="preserve">confidential. Synthetic measurement document: the company, people and figures are fictitious.</w:t>
      </w:r>
    </w:p>
    <w:bookmarkStart w:id="9" w:name="purpose-and-scope"/>
    <w:p>
      <w:pPr>
        <w:pStyle w:val="Heading2"/>
      </w:pPr>
      <w:r>
        <w:rPr>
          <w:lang w:val="en"/>
        </w:rPr>
        <w:t xml:space="preserve">1. Purpose and scope</w:t>
      </w:r>
    </w:p>
    <w:p>
      <w:pPr>
        <w:pStyle w:val="FirstParagraph"/>
      </w:pPr>
      <w:r>
        <w:rPr>
          <w:lang w:val="en"/>
        </w:rPr>
        <w:t xml:space="preserve">This report summarises the main risks of Alfa Componenti S.p.A. at 31 December 2025, as assessed by the Risk Management function and reviewed by the Control and Risk Committee. It covers the parent company and its two foreign subsidiaries.</w:t>
      </w:r>
    </w:p>
    <w:bookmarkEnd w:id="9"/>
    <w:bookmarkStart w:id="12" w:name="risk-assessment-method"/>
    <w:p>
      <w:pPr>
        <w:pStyle w:val="Heading2"/>
      </w:pPr>
      <w:r>
        <w:rPr>
          <w:lang w:val="en"/>
        </w:rPr>
        <w:t xml:space="preserve">2. Risk assessment method</w:t>
      </w:r>
    </w:p>
    <w:bookmarkStart w:id="10" w:name="scoring"/>
    <w:p>
      <w:pPr>
        <w:pStyle w:val="Heading3"/>
      </w:pPr>
      <w:r>
        <w:rPr>
          <w:lang w:val="en"/>
        </w:rPr>
        <w:t xml:space="preserve">2.1 Scoring</w:t>
      </w:r>
    </w:p>
    <w:p>
      <w:pPr>
        <w:pStyle w:val="FirstParagraph"/>
      </w:pPr>
      <w:r>
        <w:rPr>
          <w:lang w:val="en"/>
        </w:rPr>
        <w:t xml:space="preserve">Each risk is scored on likelihood and impact, both on a scale from 1 to 5. The risk score is the product of the two. A score of 15 or more is classified as high and requires an action plan approved by the Board.</w:t>
      </w:r>
    </w:p>
    <w:bookmarkEnd w:id="10"/>
    <w:bookmarkStart w:id="11" w:name="risk-appetite"/>
    <w:p>
      <w:pPr>
        <w:pStyle w:val="Heading3"/>
      </w:pPr>
      <w:r>
        <w:rPr>
          <w:lang w:val="en"/>
        </w:rPr>
        <w:t xml:space="preserve">2.2 Risk appetite</w:t>
      </w:r>
    </w:p>
    <w:p>
      <w:pPr>
        <w:pStyle w:val="FirstParagraph"/>
      </w:pPr>
      <w:r>
        <w:rPr>
          <w:lang w:val="en"/>
        </w:rPr>
        <w:t xml:space="preserve">The Board has set a maximum tolerable loss of EUR 6.0 million of EBITDA in a single year from any one risk.</w:t>
      </w:r>
    </w:p>
    <w:bookmarkEnd w:id="11"/>
    <w:bookmarkEnd w:id="12"/>
    <w:bookmarkStart w:id="13" w:name="risk-register"/>
    <w:p>
      <w:pPr>
        <w:pStyle w:val="Heading2"/>
      </w:pPr>
      <w:r>
        <w:rPr>
          <w:lang w:val="en"/>
        </w:rPr>
        <w:t xml:space="preserve">3. Risk register</w:t>
      </w:r>
    </w:p>
    <w:tbl>
      <w:tblPr>
        <w:tblStyle w:val="Table"/>
        <w:tblW w:type="pct" w:w="5000"/>
        <w:tblLayout w:type="fixed"/>
        <w:tblLook w:firstRow="1" w:lastRow="0" w:firstColumn="0" w:lastColumn="0" w:noHBand="0" w:noVBand="0" w:val="0020"/>
      </w:tblPr>
      <w:tblGrid>
        <w:gridCol w:w="1131"/>
        <w:gridCol w:w="1131"/>
        <w:gridCol w:w="1508"/>
        <w:gridCol w:w="1508"/>
        <w:gridCol w:w="1508"/>
        <w:gridCol w:w="1131"/>
      </w:tblGrid>
      <w:tr>
        <w:trPr>
          <w:tblHeader w:val="on"/>
        </w:trPr>
        <w:tc>
          <w:tcPr/>
          <w:p>
            <w:pPr>
              <w:pStyle w:val="Compact"/>
            </w:pPr>
            <w:r>
              <w:rPr>
                <w:lang w:val="en"/>
              </w:rPr>
              <w:t xml:space="preserve">Risk ID</w:t>
            </w:r>
          </w:p>
        </w:tc>
        <w:tc>
          <w:tcPr/>
          <w:p>
            <w:pPr>
              <w:pStyle w:val="Compact"/>
            </w:pPr>
            <w:r>
              <w:rPr>
                <w:lang w:val="en"/>
              </w:rPr>
              <w:t xml:space="preserve">Risk</w:t>
            </w:r>
          </w:p>
        </w:tc>
        <w:tc>
          <w:tcPr/>
          <w:p>
            <w:pPr>
              <w:pStyle w:val="Compact"/>
              <w:jc w:val="right"/>
            </w:pPr>
            <w:r>
              <w:rPr>
                <w:lang w:val="en"/>
              </w:rPr>
              <w:t xml:space="preserve">Likelihood</w:t>
            </w:r>
          </w:p>
        </w:tc>
        <w:tc>
          <w:tcPr/>
          <w:p>
            <w:pPr>
              <w:pStyle w:val="Compact"/>
              <w:jc w:val="right"/>
            </w:pPr>
            <w:r>
              <w:rPr>
                <w:lang w:val="en"/>
              </w:rPr>
              <w:t xml:space="preserve">Impact</w:t>
            </w:r>
          </w:p>
        </w:tc>
        <w:tc>
          <w:tcPr/>
          <w:p>
            <w:pPr>
              <w:pStyle w:val="Compact"/>
              <w:jc w:val="right"/>
            </w:pPr>
            <w:r>
              <w:rPr>
                <w:lang w:val="en"/>
              </w:rPr>
              <w:t xml:space="preserve">Score</w:t>
            </w:r>
          </w:p>
        </w:tc>
        <w:tc>
          <w:tcPr/>
          <w:p>
            <w:pPr>
              <w:pStyle w:val="Compact"/>
            </w:pPr>
            <w:r>
              <w:rPr>
                <w:lang w:val="en"/>
              </w:rPr>
              <w:t xml:space="preserve">Owner</w:t>
            </w:r>
          </w:p>
        </w:tc>
      </w:tr>
      <w:tr>
        <w:tc>
          <w:tcPr/>
          <w:p>
            <w:pPr>
              <w:pStyle w:val="Compact"/>
            </w:pPr>
            <w:r>
              <w:rPr>
                <w:lang w:val="en"/>
              </w:rPr>
              <w:t xml:space="preserve">R-01</w:t>
            </w:r>
          </w:p>
        </w:tc>
        <w:tc>
          <w:tcPr/>
          <w:p>
            <w:pPr>
              <w:pStyle w:val="Compact"/>
            </w:pPr>
            <w:r>
              <w:rPr>
                <w:lang w:val="en"/>
              </w:rPr>
              <w:t xml:space="preserve">Foreign exchange exposure (USD)</w:t>
            </w:r>
          </w:p>
        </w:tc>
        <w:tc>
          <w:tcPr/>
          <w:p>
            <w:pPr>
              <w:pStyle w:val="Compact"/>
              <w:jc w:val="right"/>
            </w:pPr>
            <w:r>
              <w:rPr>
                <w:lang w:val="en"/>
              </w:rPr>
              <w:t xml:space="preserve">4</w:t>
            </w:r>
          </w:p>
        </w:tc>
        <w:tc>
          <w:tcPr/>
          <w:p>
            <w:pPr>
              <w:pStyle w:val="Compact"/>
              <w:jc w:val="right"/>
            </w:pPr>
            <w:r>
              <w:rPr>
                <w:lang w:val="en"/>
              </w:rPr>
              <w:t xml:space="preserve">4</w:t>
            </w:r>
          </w:p>
        </w:tc>
        <w:tc>
          <w:tcPr/>
          <w:p>
            <w:pPr>
              <w:pStyle w:val="Compact"/>
              <w:jc w:val="right"/>
            </w:pPr>
            <w:r>
              <w:rPr>
                <w:lang w:val="en"/>
              </w:rPr>
              <w:t xml:space="preserve">16</w:t>
            </w:r>
          </w:p>
        </w:tc>
        <w:tc>
          <w:tcPr/>
          <w:p>
            <w:pPr>
              <w:pStyle w:val="Compact"/>
            </w:pPr>
            <w:r>
              <w:rPr>
                <w:lang w:val="en"/>
              </w:rPr>
              <w:t xml:space="preserve">CFO</w:t>
            </w:r>
          </w:p>
        </w:tc>
      </w:tr>
      <w:tr>
        <w:tc>
          <w:tcPr/>
          <w:p>
            <w:pPr>
              <w:pStyle w:val="Compact"/>
            </w:pPr>
            <w:r>
              <w:rPr>
                <w:lang w:val="en"/>
              </w:rPr>
              <w:t xml:space="preserve">R-02</w:t>
            </w:r>
          </w:p>
        </w:tc>
        <w:tc>
          <w:tcPr/>
          <w:p>
            <w:pPr>
              <w:pStyle w:val="Compact"/>
            </w:pPr>
            <w:r>
              <w:rPr>
                <w:lang w:val="en"/>
              </w:rPr>
              <w:t xml:space="preserve">Concentration on the top supplier of steel bars</w:t>
            </w:r>
          </w:p>
        </w:tc>
        <w:tc>
          <w:tcPr/>
          <w:p>
            <w:pPr>
              <w:pStyle w:val="Compact"/>
              <w:jc w:val="right"/>
            </w:pPr>
            <w:r>
              <w:rPr>
                <w:lang w:val="en"/>
              </w:rPr>
              <w:t xml:space="preserve">3</w:t>
            </w:r>
          </w:p>
        </w:tc>
        <w:tc>
          <w:tcPr/>
          <w:p>
            <w:pPr>
              <w:pStyle w:val="Compact"/>
              <w:jc w:val="right"/>
            </w:pPr>
            <w:r>
              <w:rPr>
                <w:lang w:val="en"/>
              </w:rPr>
              <w:t xml:space="preserve">4</w:t>
            </w:r>
          </w:p>
        </w:tc>
        <w:tc>
          <w:tcPr/>
          <w:p>
            <w:pPr>
              <w:pStyle w:val="Compact"/>
              <w:jc w:val="right"/>
            </w:pPr>
            <w:r>
              <w:rPr>
                <w:lang w:val="en"/>
              </w:rPr>
              <w:t xml:space="preserve">12</w:t>
            </w:r>
          </w:p>
        </w:tc>
        <w:tc>
          <w:tcPr/>
          <w:p>
            <w:pPr>
              <w:pStyle w:val="Compact"/>
            </w:pPr>
            <w:r>
              <w:rPr>
                <w:lang w:val="en"/>
              </w:rPr>
              <w:t xml:space="preserve">Purchasing Director</w:t>
            </w:r>
          </w:p>
        </w:tc>
      </w:tr>
      <w:tr>
        <w:tc>
          <w:tcPr/>
          <w:p>
            <w:pPr>
              <w:pStyle w:val="Compact"/>
            </w:pPr>
            <w:r>
              <w:rPr>
                <w:lang w:val="en"/>
              </w:rPr>
              <w:t xml:space="preserve">R-03</w:t>
            </w:r>
          </w:p>
        </w:tc>
        <w:tc>
          <w:tcPr/>
          <w:p>
            <w:pPr>
              <w:pStyle w:val="Compact"/>
            </w:pPr>
            <w:r>
              <w:rPr>
                <w:lang w:val="en"/>
              </w:rPr>
              <w:t xml:space="preserve">Cyber attack on production systems</w:t>
            </w:r>
          </w:p>
        </w:tc>
        <w:tc>
          <w:tcPr/>
          <w:p>
            <w:pPr>
              <w:pStyle w:val="Compact"/>
              <w:jc w:val="right"/>
            </w:pPr>
            <w:r>
              <w:rPr>
                <w:lang w:val="en"/>
              </w:rPr>
              <w:t xml:space="preserve">3</w:t>
            </w:r>
          </w:p>
        </w:tc>
        <w:tc>
          <w:tcPr/>
          <w:p>
            <w:pPr>
              <w:pStyle w:val="Compact"/>
              <w:jc w:val="right"/>
            </w:pPr>
            <w:r>
              <w:rPr>
                <w:lang w:val="en"/>
              </w:rPr>
              <w:t xml:space="preserve">5</w:t>
            </w:r>
          </w:p>
        </w:tc>
        <w:tc>
          <w:tcPr/>
          <w:p>
            <w:pPr>
              <w:pStyle w:val="Compact"/>
              <w:jc w:val="right"/>
            </w:pPr>
            <w:r>
              <w:rPr>
                <w:lang w:val="en"/>
              </w:rPr>
              <w:t xml:space="preserve">15</w:t>
            </w:r>
          </w:p>
        </w:tc>
        <w:tc>
          <w:tcPr/>
          <w:p>
            <w:pPr>
              <w:pStyle w:val="Compact"/>
            </w:pPr>
            <w:r>
              <w:rPr>
                <w:lang w:val="en"/>
              </w:rPr>
              <w:t xml:space="preserve">CIO</w:t>
            </w:r>
          </w:p>
        </w:tc>
      </w:tr>
      <w:tr>
        <w:tc>
          <w:tcPr/>
          <w:p>
            <w:pPr>
              <w:pStyle w:val="Compact"/>
            </w:pPr>
            <w:r>
              <w:rPr>
                <w:lang w:val="en"/>
              </w:rPr>
              <w:t xml:space="preserve">R-04</w:t>
            </w:r>
          </w:p>
        </w:tc>
        <w:tc>
          <w:tcPr/>
          <w:p>
            <w:pPr>
              <w:pStyle w:val="Compact"/>
            </w:pPr>
            <w:r>
              <w:rPr>
                <w:lang w:val="en"/>
              </w:rPr>
              <w:t xml:space="preserve">Loss of an automotive customer</w:t>
            </w:r>
          </w:p>
        </w:tc>
        <w:tc>
          <w:tcPr/>
          <w:p>
            <w:pPr>
              <w:pStyle w:val="Compact"/>
              <w:jc w:val="right"/>
            </w:pPr>
            <w:r>
              <w:rPr>
                <w:lang w:val="en"/>
              </w:rPr>
              <w:t xml:space="preserve">2</w:t>
            </w:r>
          </w:p>
        </w:tc>
        <w:tc>
          <w:tcPr/>
          <w:p>
            <w:pPr>
              <w:pStyle w:val="Compact"/>
              <w:jc w:val="right"/>
            </w:pPr>
            <w:r>
              <w:rPr>
                <w:lang w:val="en"/>
              </w:rPr>
              <w:t xml:space="preserve">4</w:t>
            </w:r>
          </w:p>
        </w:tc>
        <w:tc>
          <w:tcPr/>
          <w:p>
            <w:pPr>
              <w:pStyle w:val="Compact"/>
              <w:jc w:val="right"/>
            </w:pPr>
            <w:r>
              <w:rPr>
                <w:lang w:val="en"/>
              </w:rPr>
              <w:t xml:space="preserve">8</w:t>
            </w:r>
          </w:p>
        </w:tc>
        <w:tc>
          <w:tcPr/>
          <w:p>
            <w:pPr>
              <w:pStyle w:val="Compact"/>
            </w:pPr>
            <w:r>
              <w:rPr>
                <w:lang w:val="en"/>
              </w:rPr>
              <w:t xml:space="preserve">Sales Director</w:t>
            </w:r>
          </w:p>
        </w:tc>
      </w:tr>
      <w:tr>
        <w:tc>
          <w:tcPr/>
          <w:p>
            <w:pPr>
              <w:pStyle w:val="Compact"/>
            </w:pPr>
            <w:r>
              <w:rPr>
                <w:lang w:val="en"/>
              </w:rPr>
              <w:t xml:space="preserve">R-05</w:t>
            </w:r>
          </w:p>
        </w:tc>
        <w:tc>
          <w:tcPr/>
          <w:p>
            <w:pPr>
              <w:pStyle w:val="Compact"/>
            </w:pPr>
            <w:r>
              <w:rPr>
                <w:lang w:val="en"/>
              </w:rPr>
              <w:t xml:space="preserve">Delay of the Beta acquisition</w:t>
            </w:r>
          </w:p>
        </w:tc>
        <w:tc>
          <w:tcPr/>
          <w:p>
            <w:pPr>
              <w:pStyle w:val="Compact"/>
              <w:jc w:val="right"/>
            </w:pPr>
            <w:r>
              <w:rPr>
                <w:lang w:val="en"/>
              </w:rPr>
              <w:t xml:space="preserve">3</w:t>
            </w:r>
          </w:p>
        </w:tc>
        <w:tc>
          <w:tcPr/>
          <w:p>
            <w:pPr>
              <w:pStyle w:val="Compact"/>
              <w:jc w:val="right"/>
            </w:pPr>
            <w:r>
              <w:rPr>
                <w:lang w:val="en"/>
              </w:rPr>
              <w:t xml:space="preserve">3</w:t>
            </w:r>
          </w:p>
        </w:tc>
        <w:tc>
          <w:tcPr/>
          <w:p>
            <w:pPr>
              <w:pStyle w:val="Compact"/>
              <w:jc w:val="right"/>
            </w:pPr>
            <w:r>
              <w:rPr>
                <w:lang w:val="en"/>
              </w:rPr>
              <w:t xml:space="preserve">9</w:t>
            </w:r>
          </w:p>
        </w:tc>
        <w:tc>
          <w:tcPr/>
          <w:p>
            <w:pPr>
              <w:pStyle w:val="Compact"/>
            </w:pPr>
            <w:r>
              <w:rPr>
                <w:lang w:val="en"/>
              </w:rPr>
              <w:t xml:space="preserve">CEO</w:t>
            </w:r>
          </w:p>
        </w:tc>
      </w:tr>
    </w:tbl>
    <w:p>
      <w:r>
        <w:br w:type="page"/>
      </w:r>
    </w:p>
    <w:bookmarkEnd w:id="13"/>
    <w:bookmarkStart w:id="16" w:name="high-risks"/>
    <w:p>
      <w:pPr>
        <w:pStyle w:val="Heading2"/>
      </w:pPr>
      <w:r>
        <w:rPr>
          <w:lang w:val="en"/>
        </w:rPr>
        <w:t xml:space="preserve">4. High risks</w:t>
      </w:r>
    </w:p>
    <w:bookmarkStart w:id="14" w:name="r-01-foreign-exchange-exposure"/>
    <w:p>
      <w:pPr>
        <w:pStyle w:val="Heading3"/>
      </w:pPr>
      <w:r>
        <w:rPr>
          <w:lang w:val="en"/>
        </w:rPr>
        <w:t xml:space="preserve">4.1 R-01 Foreign exchange exposure</w:t>
      </w:r>
    </w:p>
    <w:p>
      <w:pPr>
        <w:pStyle w:val="FirstParagraph"/>
      </w:pPr>
      <w:r>
        <w:rPr>
          <w:lang w:val="en"/>
        </w:rPr>
        <w:t xml:space="preserve">Sales invoiced in US dollars account for 28% of consolidated revenue. At year end the hedge ratio on the next twelve months of expected USD inflows was 65%. A 10% appreciation of the euro against the dollar would reduce EBITDA by about EUR 3.5 million before hedging and by about EUR 1.2 million after hedging.</w:t>
      </w:r>
    </w:p>
    <w:bookmarkEnd w:id="14"/>
    <w:bookmarkStart w:id="15" w:name="r-03-cyber-attack-on-production-systems"/>
    <w:p>
      <w:pPr>
        <w:pStyle w:val="Heading3"/>
      </w:pPr>
      <w:r>
        <w:rPr>
          <w:lang w:val="en"/>
        </w:rPr>
        <w:t xml:space="preserve">4.2 R-03 Cyber attack on production systems</w:t>
      </w:r>
    </w:p>
    <w:p>
      <w:pPr>
        <w:pStyle w:val="FirstParagraph"/>
      </w:pPr>
      <w:r>
        <w:rPr>
          <w:lang w:val="en"/>
        </w:rPr>
        <w:t xml:space="preserve">The production lines at the Borgoalto plant are controlled by systems that were not segmented from the office network until November 2025. Segmentation is now complete for 80% of the lines. A ransomware event that stops production for ten working days is estimated at EUR 4.8 million of lost EBITDA.</w:t>
      </w:r>
    </w:p>
    <w:bookmarkEnd w:id="15"/>
    <w:bookmarkEnd w:id="16"/>
    <w:bookmarkStart w:id="19" w:name="medium-risks"/>
    <w:p>
      <w:pPr>
        <w:pStyle w:val="Heading2"/>
      </w:pPr>
      <w:r>
        <w:rPr>
          <w:lang w:val="en"/>
        </w:rPr>
        <w:t xml:space="preserve">5. Medium risks</w:t>
      </w:r>
    </w:p>
    <w:bookmarkStart w:id="17" w:name="r-02-supplier-concentration"/>
    <w:p>
      <w:pPr>
        <w:pStyle w:val="Heading3"/>
      </w:pPr>
      <w:r>
        <w:rPr>
          <w:lang w:val="en"/>
        </w:rPr>
        <w:t xml:space="preserve">5.1 R-02 Supplier concentration</w:t>
      </w:r>
    </w:p>
    <w:p>
      <w:pPr>
        <w:pStyle w:val="FirstParagraph"/>
      </w:pPr>
      <w:r>
        <w:rPr>
          <w:lang w:val="en"/>
        </w:rPr>
        <w:t xml:space="preserve">The top supplier of steel bars provides 22% of purchases by value. A second supplier has been qualified and will reach 10% of volumes by mid-2026.</w:t>
      </w:r>
    </w:p>
    <w:bookmarkEnd w:id="17"/>
    <w:bookmarkStart w:id="18" w:name="r-05-delay-of-the-beta-acquisition"/>
    <w:p>
      <w:pPr>
        <w:pStyle w:val="Heading3"/>
      </w:pPr>
      <w:r>
        <w:rPr>
          <w:lang w:val="en"/>
        </w:rPr>
        <w:t xml:space="preserve">5.2 R-05 Delay of the Beta acquisition</w:t>
      </w:r>
    </w:p>
    <w:p>
      <w:pPr>
        <w:pStyle w:val="FirstParagraph"/>
      </w:pPr>
      <w:r>
        <w:rPr>
          <w:lang w:val="en"/>
        </w:rPr>
        <w:t xml:space="preserve">A twelve-month delay would reduce 2028 EBITDA by EUR 3.1 million compared with the business plan.</w:t>
      </w:r>
    </w:p>
    <w:bookmarkEnd w:id="18"/>
    <w:bookmarkEnd w:id="19"/>
    <w:bookmarkStart w:id="20" w:name="actions-for-2026"/>
    <w:p>
      <w:pPr>
        <w:pStyle w:val="Heading2"/>
      </w:pPr>
      <w:r>
        <w:rPr>
          <w:lang w:val="en"/>
        </w:rPr>
        <w:t xml:space="preserve">6. Actions for 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
              </w:rPr>
              <w:t xml:space="preserve">Action</w:t>
            </w:r>
          </w:p>
        </w:tc>
        <w:tc>
          <w:tcPr/>
          <w:p>
            <w:pPr>
              <w:pStyle w:val="Compact"/>
            </w:pPr>
            <w:r>
              <w:rPr>
                <w:lang w:val="en"/>
              </w:rPr>
              <w:t xml:space="preserve">Risk</w:t>
            </w:r>
          </w:p>
        </w:tc>
        <w:tc>
          <w:tcPr/>
          <w:p>
            <w:pPr>
              <w:pStyle w:val="Compact"/>
            </w:pPr>
            <w:r>
              <w:rPr>
                <w:lang w:val="en"/>
              </w:rPr>
              <w:t xml:space="preserve">Deadline</w:t>
            </w:r>
          </w:p>
        </w:tc>
        <w:tc>
          <w:tcPr/>
          <w:p>
            <w:pPr>
              <w:pStyle w:val="Compact"/>
            </w:pPr>
            <w:r>
              <w:rPr>
                <w:lang w:val="en"/>
              </w:rPr>
              <w:t xml:space="preserve">Status</w:t>
            </w:r>
          </w:p>
        </w:tc>
      </w:tr>
      <w:tr>
        <w:tc>
          <w:tcPr/>
          <w:p>
            <w:pPr>
              <w:pStyle w:val="Compact"/>
            </w:pPr>
            <w:r>
              <w:rPr>
                <w:lang w:val="en"/>
              </w:rPr>
              <w:t xml:space="preserve">Raise the USD hedge ratio to 75%</w:t>
            </w:r>
          </w:p>
        </w:tc>
        <w:tc>
          <w:tcPr/>
          <w:p>
            <w:pPr>
              <w:pStyle w:val="Compact"/>
            </w:pPr>
            <w:r>
              <w:rPr>
                <w:lang w:val="en"/>
              </w:rPr>
              <w:t xml:space="preserve">R-01</w:t>
            </w:r>
          </w:p>
        </w:tc>
        <w:tc>
          <w:tcPr/>
          <w:p>
            <w:pPr>
              <w:pStyle w:val="Compact"/>
            </w:pPr>
            <w:r>
              <w:rPr>
                <w:lang w:val="en"/>
              </w:rPr>
              <w:t xml:space="preserve">31 March 2026</w:t>
            </w:r>
          </w:p>
        </w:tc>
        <w:tc>
          <w:tcPr/>
          <w:p>
            <w:pPr>
              <w:pStyle w:val="Compact"/>
            </w:pPr>
            <w:r>
              <w:rPr>
                <w:lang w:val="en"/>
              </w:rPr>
              <w:t xml:space="preserve">planned</w:t>
            </w:r>
          </w:p>
        </w:tc>
      </w:tr>
      <w:tr>
        <w:tc>
          <w:tcPr/>
          <w:p>
            <w:pPr>
              <w:pStyle w:val="Compact"/>
            </w:pPr>
            <w:r>
              <w:rPr>
                <w:lang w:val="en"/>
              </w:rPr>
              <w:t xml:space="preserve">Complete network segmentation</w:t>
            </w:r>
          </w:p>
        </w:tc>
        <w:tc>
          <w:tcPr/>
          <w:p>
            <w:pPr>
              <w:pStyle w:val="Compact"/>
            </w:pPr>
            <w:r>
              <w:rPr>
                <w:lang w:val="en"/>
              </w:rPr>
              <w:t xml:space="preserve">R-03</w:t>
            </w:r>
          </w:p>
        </w:tc>
        <w:tc>
          <w:tcPr/>
          <w:p>
            <w:pPr>
              <w:pStyle w:val="Compact"/>
            </w:pPr>
            <w:r>
              <w:rPr>
                <w:lang w:val="en"/>
              </w:rPr>
              <w:t xml:space="preserve">30 June 2026</w:t>
            </w:r>
          </w:p>
        </w:tc>
        <w:tc>
          <w:tcPr/>
          <w:p>
            <w:pPr>
              <w:pStyle w:val="Compact"/>
            </w:pPr>
            <w:r>
              <w:rPr>
                <w:lang w:val="en"/>
              </w:rPr>
              <w:t xml:space="preserve">in progress</w:t>
            </w:r>
          </w:p>
        </w:tc>
      </w:tr>
      <w:tr>
        <w:tc>
          <w:tcPr/>
          <w:p>
            <w:pPr>
              <w:pStyle w:val="Compact"/>
            </w:pPr>
            <w:r>
              <w:rPr>
                <w:lang w:val="en"/>
              </w:rPr>
              <w:t xml:space="preserve">Qualify a third steel supplier</w:t>
            </w:r>
          </w:p>
        </w:tc>
        <w:tc>
          <w:tcPr/>
          <w:p>
            <w:pPr>
              <w:pStyle w:val="Compact"/>
            </w:pPr>
            <w:r>
              <w:rPr>
                <w:lang w:val="en"/>
              </w:rPr>
              <w:t xml:space="preserve">R-02</w:t>
            </w:r>
          </w:p>
        </w:tc>
        <w:tc>
          <w:tcPr/>
          <w:p>
            <w:pPr>
              <w:pStyle w:val="Compact"/>
            </w:pPr>
            <w:r>
              <w:rPr>
                <w:lang w:val="en"/>
              </w:rPr>
              <w:t xml:space="preserve">31 December 2026</w:t>
            </w:r>
          </w:p>
        </w:tc>
        <w:tc>
          <w:tcPr/>
          <w:p>
            <w:pPr>
              <w:pStyle w:val="Compact"/>
            </w:pPr>
            <w:r>
              <w:rPr>
                <w:lang w:val="en"/>
              </w:rPr>
              <w:t xml:space="preserve">planned</w:t>
            </w:r>
          </w:p>
        </w:tc>
      </w:tr>
    </w:tbl>
    <w:p>
      <w:pPr>
        <w:pStyle w:val="BodyText"/>
      </w:pPr>
      <w:r>
        <w:rPr>
          <w:b/>
          <w:bCs/>
          <w:lang w:val="en"/>
        </w:rPr>
        <w:t xml:space="preserve">Modifica:</w:t>
      </w:r>
      <w:r>
        <w:rPr>
          <w:lang w:val="en"/>
        </w:rPr>
        <w:t xml:space="preserve"> </w:t>
      </w:r>
      <w:r>
        <w:rPr>
          <w:lang w:val="en"/>
        </w:rPr>
        <w:t xml:space="preserve">Claude (gsd-executor, Anthropic) · 2026-10-20 · documento sintetico del corpus degli spike (piano 01-03)</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synthetic (Claude)</dc:creator>
  <dc:language>en</dc:language>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confidential</vt:lpwstr>
  </property>
  <property fmtid="{D5CDD505-2E9C-101B-9397-08002B2CF9AE}" pid="3" name="doc_id">
    <vt:lpwstr>syn-05-risk-report-confidential-en</vt:lpwstr>
  </property>
</Properties>
</file>