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93BC1CA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 xml:space="preserve">attestante i requisiti industria 4.0 dei beni oggetto di valutazione </w:t>
      </w:r>
      <w:r w:rsidR="007C6D4F" w:rsidRPr="007C6D4F">
        <w:rPr>
          <w:rFonts w:ascii="Arial" w:hAnsi="Arial" w:cs="Arial"/>
          <w:b/>
          <w:bCs/>
          <w:sz w:val="24"/>
          <w:szCs w:val="24"/>
        </w:rPr>
        <w:t>(Allegati IV e V della Legge 199/2026);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30F69D4C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</w:t>
      </w:r>
      <w:r w:rsidR="007C6D4F">
        <w:rPr>
          <w:rFonts w:ascii="Arial" w:hAnsi="Arial" w:cs="Arial"/>
          <w:b/>
          <w:bCs/>
          <w:sz w:val="24"/>
          <w:szCs w:val="24"/>
        </w:rPr>
        <w:t>;</w:t>
      </w:r>
    </w:p>
    <w:p w14:paraId="7C932A72" w14:textId="78C8B69C" w:rsidR="007C6D4F" w:rsidRDefault="007C6D4F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Revisione legale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101584E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[Importo </w:t>
            </w:r>
            <w:r w:rsidR="00FA1ACB">
              <w:rPr>
                <w:rFonts w:ascii="Arial" w:hAnsi="Arial" w:cs="Arial"/>
                <w:sz w:val="24"/>
                <w:szCs w:val="24"/>
              </w:rPr>
              <w:t>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0600FF86" w:rsidR="0070642C" w:rsidRDefault="00C2701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 possesso delle caratteristiche di cui all’Allegato IV della Legge 199-25.</w:t>
      </w:r>
    </w:p>
    <w:p w14:paraId="4B4BFECF" w14:textId="3AE93D82" w:rsid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della gestione pratica GSE (pto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5F85C788" w14:textId="6640FE16" w:rsidR="007C6D4F" w:rsidRPr="00AC681F" w:rsidRDefault="007C6D4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della revisione legale</w:t>
      </w:r>
      <w:r w:rsidRPr="00AC681F">
        <w:rPr>
          <w:rFonts w:ascii="Arial" w:hAnsi="Arial" w:cs="Arial"/>
          <w:sz w:val="24"/>
          <w:szCs w:val="24"/>
        </w:rPr>
        <w:t xml:space="preserve"> (pto </w:t>
      </w:r>
      <w:r>
        <w:rPr>
          <w:rFonts w:ascii="Arial" w:hAnsi="Arial" w:cs="Arial"/>
          <w:sz w:val="24"/>
          <w:szCs w:val="24"/>
        </w:rPr>
        <w:t>d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revisione]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5C210556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7C6D4F">
        <w:rPr>
          <w:rFonts w:ascii="Arial" w:hAnsi="Arial" w:cs="Arial"/>
        </w:rPr>
        <w:t xml:space="preserve">, le spese generali in misura pari al 6% dei corrispettivi sopra riportati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</w:t>
      </w:r>
      <w:r w:rsidRPr="00483729">
        <w:rPr>
          <w:rFonts w:ascii="Arial" w:hAnsi="Arial" w:cs="Arial"/>
        </w:rPr>
        <w:lastRenderedPageBreak/>
        <w:t xml:space="preserve">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barrare se interessati anche al pto c) – Gestione pratica GSE</w:t>
      </w:r>
    </w:p>
    <w:p w14:paraId="27020D25" w14:textId="43FADA0E" w:rsidR="007C6D4F" w:rsidRPr="00483729" w:rsidRDefault="007C6D4F" w:rsidP="007C6D4F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pto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d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Revisione legale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1A86C" w14:textId="77777777" w:rsidR="0013309C" w:rsidRDefault="0013309C">
      <w:r>
        <w:separator/>
      </w:r>
    </w:p>
  </w:endnote>
  <w:endnote w:type="continuationSeparator" w:id="0">
    <w:p w14:paraId="461DE718" w14:textId="77777777" w:rsidR="0013309C" w:rsidRDefault="00133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C9DE7" w14:textId="77777777" w:rsidR="0013309C" w:rsidRDefault="0013309C">
      <w:r>
        <w:separator/>
      </w:r>
    </w:p>
  </w:footnote>
  <w:footnote w:type="continuationSeparator" w:id="0">
    <w:p w14:paraId="23F4516A" w14:textId="77777777" w:rsidR="0013309C" w:rsidRDefault="001330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309C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003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D3423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2701C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D1D21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A1ACB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4</cp:revision>
  <cp:lastPrinted>2024-04-17T19:57:00Z</cp:lastPrinted>
  <dcterms:created xsi:type="dcterms:W3CDTF">2026-01-18T21:21:00Z</dcterms:created>
  <dcterms:modified xsi:type="dcterms:W3CDTF">2026-01-29T09:21:00Z</dcterms:modified>
</cp:coreProperties>
</file>