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311B68D"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311B68D"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3311B68D" w:rsidRDefault="00147E64" w14:paraId="4E07426F" w14:textId="4E386E9D">
            <w:pPr>
              <w:tabs>
                <w:tab w:val="left" w:pos="960"/>
              </w:tabs>
              <w:autoSpaceDE w:val="0"/>
              <w:autoSpaceDN w:val="0"/>
              <w:bidi w:val="0"/>
              <w:adjustRightInd w:val="0"/>
              <w:spacing w:before="0" w:beforeAutospacing="off" w:after="0" w:afterAutospacing="off" w:line="240" w:lineRule="auto"/>
              <w:ind/>
              <w:jc w:val="left"/>
              <w:rPr>
                <w:color w:val="auto"/>
                <w:lang w:val="en-AE"/>
              </w:rPr>
            </w:pPr>
            <w:r w:rsidRPr="3311B68D" w:rsidR="6857EC37">
              <w:rPr>
                <w:color w:val="auto"/>
                <w:highlight w:val="red"/>
              </w:rPr>
              <w:t>P</w:t>
            </w:r>
            <w:r w:rsidRPr="3311B68D" w:rsidR="2E4AD519">
              <w:rPr>
                <w:color w:val="auto"/>
                <w:highlight w:val="red"/>
              </w:rPr>
              <w:t>robably Yes</w:t>
            </w:r>
            <w:r w:rsidRPr="3311B68D" w:rsidR="4E31FF5E">
              <w:rPr>
                <w:color w:val="auto"/>
                <w:highlight w:val="red"/>
              </w:rPr>
              <w:t>:</w:t>
            </w:r>
            <w:r w:rsidRPr="3311B68D" w:rsidR="4E31FF5E">
              <w:rPr>
                <w:color w:val="auto"/>
              </w:rPr>
              <w:t xml:space="preserve"> Not all data was used in this analysis, </w:t>
            </w:r>
            <w:r w:rsidRPr="3311B68D" w:rsidR="27135FA8">
              <w:rPr>
                <w:color w:val="auto"/>
              </w:rPr>
              <w:t xml:space="preserve">because a lot of participants in the CEMO dataset did not express emotions (only neutrality), therefore were excluded. This </w:t>
            </w: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3311B68D"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7135BB6C">
            <w:pPr>
              <w:tabs>
                <w:tab w:val="left" w:leader="none" w:pos="960"/>
              </w:tabs>
              <w:spacing w:after="0"/>
              <w:jc w:val="left"/>
              <w:rPr>
                <w:highlight w:val="green"/>
              </w:rPr>
            </w:pPr>
            <w:r w:rsidRPr="3311B68D" w:rsidR="43A262A6">
              <w:rPr>
                <w:highlight w:val="green"/>
              </w:rPr>
              <w:t>Probably No</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027ECDE1">
            <w:pPr>
              <w:pStyle w:val="Normal"/>
              <w:tabs>
                <w:tab w:val="left" w:pos="960"/>
              </w:tabs>
              <w:autoSpaceDE w:val="0"/>
              <w:autoSpaceDN w:val="0"/>
              <w:adjustRightInd w:val="0"/>
              <w:spacing w:after="0"/>
              <w:jc w:val="left"/>
              <w:rPr>
                <w:highlight w:val="red"/>
              </w:rPr>
            </w:pPr>
            <w:r w:rsidRPr="3311B68D" w:rsidR="43A262A6">
              <w:rPr>
                <w:highlight w:val="red"/>
              </w:rPr>
              <w:t>Probably Yes: The neutral outcome of some participants emotional state is what influenced the exclusion of those participants</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311B68D"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3311B68D"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311B68D"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377BAC4E" w:rsidP="3311B68D" w:rsidRDefault="377BAC4E" w14:paraId="4153E740" w14:textId="32B4D0C1">
            <w:pPr>
              <w:pStyle w:val="Normal"/>
              <w:tabs>
                <w:tab w:val="left" w:leader="none" w:pos="960"/>
              </w:tabs>
              <w:bidi w:val="0"/>
              <w:spacing w:before="0" w:beforeAutospacing="off" w:after="0" w:afterAutospacing="off" w:line="240" w:lineRule="auto"/>
              <w:ind w:left="0" w:right="0"/>
              <w:jc w:val="left"/>
              <w:rPr>
                <w:color w:val="auto"/>
              </w:rPr>
            </w:pPr>
            <w:r w:rsidRPr="3311B68D" w:rsidR="53178BF1">
              <w:rPr>
                <w:color w:val="auto"/>
                <w:highlight w:val="magenta"/>
              </w:rPr>
              <w:t>Moderate Risk of Bias:</w:t>
            </w:r>
            <w:r w:rsidRPr="3311B68D" w:rsidR="53178BF1">
              <w:rPr>
                <w:color w:val="auto"/>
              </w:rPr>
              <w:t xml:space="preserve">Although a lot of participants were excluded (38%), the end goal of an </w:t>
            </w:r>
            <w:r w:rsidRPr="3311B68D" w:rsidR="53178BF1">
              <w:rPr>
                <w:color w:val="auto"/>
              </w:rPr>
              <w:t>emotionally-aware</w:t>
            </w:r>
            <w:r w:rsidRPr="3311B68D" w:rsidR="53178BF1">
              <w:rPr>
                <w:color w:val="auto"/>
              </w:rPr>
              <w:t xml:space="preserve"> SER system would certainly be hamp</w:t>
            </w:r>
            <w:r w:rsidRPr="3311B68D" w:rsidR="708AB199">
              <w:rPr>
                <w:color w:val="auto"/>
              </w:rPr>
              <w:t>ered by a large imbalance in classes, with dominance of the neutral class</w:t>
            </w:r>
          </w:p>
          <w:p w:rsidRPr="002C1D39" w:rsidR="00977A0A" w:rsidP="5320E74D" w:rsidRDefault="007C19F7" w14:paraId="10C2FFD6" w14:textId="565AB2D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3311B68D"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0546C8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pPr>
            <w:r w:rsidRPr="50546C89" w:rsidR="00115063">
              <w:rPr>
                <w:color w:val="00B050"/>
                <w:u w:val="single"/>
              </w:rPr>
              <w:t>Y</w:t>
            </w:r>
            <w:r w:rsidRPr="50546C89" w:rsidR="00115063">
              <w:rPr>
                <w:color w:val="00B050"/>
                <w:u w:val="single"/>
              </w:rPr>
              <w:t xml:space="preserve"> </w:t>
            </w:r>
            <w:r w:rsidRPr="50546C89" w:rsidR="00115063">
              <w:rPr>
                <w:color w:val="00B050"/>
                <w:u w:val="single"/>
              </w:rPr>
              <w:t>/ PY</w:t>
            </w:r>
            <w:r w:rsidR="00115063">
              <w:rPr/>
              <w:t xml:space="preserve"> / </w:t>
            </w:r>
            <w:r w:rsidRPr="50546C89" w:rsidR="00115063">
              <w:rPr>
                <w:color w:val="FF0000"/>
              </w:rPr>
              <w:t>PN / N</w:t>
            </w:r>
            <w:r w:rsidR="00115063">
              <w:rPr/>
              <w:t xml:space="preserve"> / NI</w:t>
            </w:r>
          </w:p>
        </w:tc>
      </w:tr>
      <w:tr w:rsidRPr="002C1D39" w:rsidR="00115063" w:rsidTr="50546C8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79522B9A">
            <w:pPr>
              <w:tabs>
                <w:tab w:val="left" w:leader="none" w:pos="960"/>
              </w:tabs>
              <w:spacing w:after="0"/>
              <w:jc w:val="left"/>
              <w:rPr>
                <w:highlight w:val="green"/>
              </w:rPr>
            </w:pPr>
            <w:r w:rsidRPr="50546C89" w:rsidR="12140C86">
              <w:rPr>
                <w:highlight w:val="red"/>
              </w:rPr>
              <w:t xml:space="preserve">Probably </w:t>
            </w:r>
            <w:r w:rsidRPr="50546C89" w:rsidR="4AAFB71A">
              <w:rPr>
                <w:highlight w:val="red"/>
              </w:rPr>
              <w:t>No:</w:t>
            </w:r>
            <w:r w:rsidR="4AAFB71A">
              <w:rPr/>
              <w:t xml:space="preserve"> </w:t>
            </w:r>
            <w:r w:rsidR="4AAFB71A">
              <w:rPr/>
              <w:t xml:space="preserve">final data set was a subset of the </w:t>
            </w:r>
            <w:r w:rsidR="4AAFB71A">
              <w:rPr/>
              <w:t>initial</w:t>
            </w:r>
            <w:r w:rsidR="4AAFB71A">
              <w:rPr/>
              <w:t xml:space="preserve"> designed dataset, due to exclusion of emotional classes annotations</w:t>
            </w:r>
            <w:r w:rsidR="7798060D">
              <w:rPr/>
              <w:t xml:space="preserve"> after the end of the experiments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50546C89"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50546C8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35576A5" w:rsidP="50546C89" w:rsidRDefault="735576A5" w14:paraId="20545977" w14:textId="7514456F">
            <w:pPr>
              <w:pStyle w:val="Normal"/>
              <w:tabs>
                <w:tab w:val="left" w:leader="none" w:pos="960"/>
              </w:tabs>
              <w:bidi w:val="0"/>
              <w:spacing w:before="0" w:beforeAutospacing="off" w:after="0" w:afterAutospacing="off" w:line="240" w:lineRule="auto"/>
              <w:ind w:left="0" w:right="0"/>
              <w:jc w:val="left"/>
            </w:pPr>
            <w:r w:rsidRPr="50546C89" w:rsidR="735576A5">
              <w:rPr>
                <w:highlight w:val="magenta"/>
              </w:rPr>
              <w:t>Moderat</w:t>
            </w:r>
            <w:r w:rsidRPr="50546C89" w:rsidR="735576A5">
              <w:rPr>
                <w:highlight w:val="magenta"/>
              </w:rPr>
              <w: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311B68D"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311B68D"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311B68D"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3311B68D"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311B68D"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311B68D"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062F40A4">
            <w:pPr>
              <w:autoSpaceDE w:val="0"/>
              <w:autoSpaceDN w:val="0"/>
              <w:adjustRightInd w:val="0"/>
              <w:spacing w:after="0"/>
              <w:jc w:val="left"/>
            </w:pPr>
            <w:r w:rsidRPr="3311B68D" w:rsidR="4430B7D0">
              <w:rPr>
                <w:highlight w:val="green"/>
              </w:rPr>
              <w:t>Probably Yes:</w:t>
            </w:r>
            <w:r w:rsidR="4430B7D0">
              <w:rPr/>
              <w:t xml:space="preserve"> A call center is expected to have the same influence in the emotional states of callers. Agents </w:t>
            </w:r>
            <w:r w:rsidR="4430B7D0">
              <w:rPr/>
              <w:t>operating</w:t>
            </w:r>
            <w:r w:rsidR="4430B7D0">
              <w:rPr/>
              <w:t xml:space="preserve"> the call center are also expected to respond with the same strategy</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3311B68D"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2FCC250F" w:rsidP="3311B68D" w:rsidRDefault="2FCC250F" w14:paraId="548644C4" w14:textId="4E14B89B">
            <w:pPr>
              <w:pStyle w:val="Normal"/>
              <w:bidi w:val="0"/>
              <w:spacing w:before="0" w:beforeAutospacing="off" w:after="0" w:afterAutospacing="off" w:line="240" w:lineRule="auto"/>
              <w:ind w:left="0" w:right="0"/>
              <w:jc w:val="left"/>
            </w:pPr>
            <w:r w:rsidRPr="3311B68D" w:rsidR="2FCC250F">
              <w:rPr>
                <w:highlight w:val="darkGray"/>
              </w:rPr>
              <w:t>No Information:</w:t>
            </w:r>
            <w:r w:rsidR="2FCC250F">
              <w:rPr/>
              <w:t xml:space="preserve"> as it is a spontaneous dataset, there is no information whether the </w:t>
            </w:r>
            <w:r w:rsidR="2FCC250F">
              <w:rPr/>
              <w:t>supposed function</w:t>
            </w:r>
            <w:r w:rsidR="2FCC250F">
              <w:rPr/>
              <w:t xml:space="preserve"> of the call center and operating agents </w:t>
            </w:r>
            <w:r w:rsidR="2FCC250F">
              <w:rPr/>
              <w:t xml:space="preserve">was </w:t>
            </w:r>
            <w:r w:rsidR="2FCC250F">
              <w:rPr/>
              <w:t>achieved</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311B68D"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6E710A40" w:rsidP="3311B68D" w:rsidRDefault="6E710A40" w14:paraId="599F5135" w14:textId="02940E0B">
            <w:pPr>
              <w:pStyle w:val="Normal"/>
              <w:bidi w:val="0"/>
              <w:spacing w:before="0" w:beforeAutospacing="off" w:after="0" w:afterAutospacing="off" w:line="240" w:lineRule="auto"/>
              <w:ind w:left="0" w:right="0"/>
              <w:jc w:val="left"/>
            </w:pPr>
            <w:r w:rsidRPr="3311B68D" w:rsidR="6E710A40">
              <w:rPr>
                <w:highlight w:val="darkGray"/>
              </w:rPr>
              <w:t>No Information</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311B68D"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311B68D"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4072C46D" w:rsidP="3311B68D" w:rsidRDefault="4072C46D" w14:paraId="3E83A35C" w14:textId="0EDCC07D">
            <w:pPr>
              <w:pStyle w:val="Normal"/>
              <w:bidi w:val="0"/>
              <w:spacing w:before="0" w:beforeAutospacing="off" w:after="0" w:afterAutospacing="off" w:line="240" w:lineRule="auto"/>
              <w:ind w:left="0" w:right="0"/>
              <w:jc w:val="left"/>
            </w:pPr>
            <w:r w:rsidRPr="3311B68D" w:rsidR="4072C46D">
              <w:rPr>
                <w:highlight w:val="darkGray"/>
              </w:rPr>
              <w:t>No Information:</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311B68D"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311B68D"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3311B68D"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55BDD440" w:rsidP="3311B68D" w:rsidRDefault="55BDD440" w14:paraId="2243E9F0" w14:textId="240B092B">
            <w:pPr>
              <w:pStyle w:val="Normal"/>
              <w:tabs>
                <w:tab w:val="left" w:leader="none" w:pos="960"/>
              </w:tabs>
              <w:bidi w:val="0"/>
              <w:spacing w:before="0" w:beforeAutospacing="off" w:after="0" w:afterAutospacing="off" w:line="240" w:lineRule="auto"/>
              <w:ind w:left="0" w:right="0"/>
              <w:jc w:val="left"/>
            </w:pPr>
            <w:r w:rsidRPr="3311B68D" w:rsidR="55BDD440">
              <w:rPr>
                <w:color w:val="auto"/>
                <w:highlight w:val="red"/>
              </w:rPr>
              <w:t>No:</w:t>
            </w:r>
            <w:r w:rsidRPr="3311B68D" w:rsidR="55BDD440">
              <w:rPr>
                <w:color w:val="auto"/>
              </w:rPr>
              <w:t xml:space="preserve"> </w:t>
            </w:r>
            <w:r w:rsidRPr="3311B68D" w:rsidR="55BDD440">
              <w:rPr>
                <w:color w:val="auto"/>
              </w:rPr>
              <w:t xml:space="preserve">It is </w:t>
            </w:r>
            <w:r w:rsidRPr="3311B68D" w:rsidR="55BDD440">
              <w:rPr>
                <w:color w:val="auto"/>
              </w:rPr>
              <w:t>stated</w:t>
            </w:r>
            <w:r w:rsidRPr="3311B68D" w:rsidR="55BDD440">
              <w:rPr>
                <w:color w:val="auto"/>
              </w:rPr>
              <w:t xml:space="preserve"> that 38% of participants were excluded</w:t>
            </w:r>
          </w:p>
          <w:p w:rsidRPr="002C1D39" w:rsidR="00115063" w:rsidP="06F9BA20" w:rsidRDefault="00C65CBA" w14:paraId="2C9D6C06" w14:textId="697FFAD3">
            <w:pPr>
              <w:pStyle w:val="Normal"/>
              <w:spacing w:after="0"/>
              <w:jc w:val="left"/>
              <w:rPr>
                <w:rFonts w:ascii="Times New Roman" w:hAnsi="Times New Roman" w:cs="Times New Roman"/>
                <w:sz w:val="20"/>
                <w:szCs w:val="20"/>
                <w:lang w:val="fr-TN"/>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3311B68D"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4B9478CC" w:rsidP="3311B68D" w:rsidRDefault="4B9478CC" w14:paraId="01140398" w14:textId="0DD3A7F6">
            <w:pPr>
              <w:pStyle w:val="Normal"/>
              <w:tabs>
                <w:tab w:val="left" w:leader="none" w:pos="960"/>
              </w:tabs>
              <w:bidi w:val="0"/>
              <w:spacing w:before="0" w:beforeAutospacing="off" w:after="0" w:afterAutospacing="off" w:line="240" w:lineRule="auto"/>
              <w:ind w:left="0" w:right="0"/>
              <w:jc w:val="left"/>
              <w:rPr>
                <w:color w:val="auto"/>
              </w:rPr>
            </w:pPr>
            <w:r w:rsidRPr="3311B68D" w:rsidR="4A217CCE">
              <w:rPr>
                <w:color w:val="auto"/>
                <w:highlight w:val="red"/>
              </w:rPr>
              <w:t xml:space="preserve">Probably </w:t>
            </w:r>
            <w:r w:rsidRPr="3311B68D" w:rsidR="3239FA8C">
              <w:rPr>
                <w:color w:val="auto"/>
                <w:highlight w:val="red"/>
              </w:rPr>
              <w:t>Yes:</w:t>
            </w:r>
            <w:r w:rsidRPr="3311B68D" w:rsidR="3239FA8C">
              <w:rPr>
                <w:color w:val="auto"/>
              </w:rPr>
              <w:t xml:space="preserve"> Spontaneous datasets - Call centers: voice modality is not enough to convey true emotional state; neutrality in call center dialogues bears a risk of bias;</w:t>
            </w:r>
          </w:p>
          <w:p w:rsidR="377BAC4E" w:rsidP="377BAC4E" w:rsidRDefault="377BAC4E" w14:paraId="7D8A4EFA" w14:textId="0088B755">
            <w:pPr>
              <w:pStyle w:val="Normal"/>
              <w:spacing w:after="0"/>
              <w:jc w:val="left"/>
              <w:rPr>
                <w:highlight w:val="green"/>
              </w:rPr>
            </w:pP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311B68D"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50546C89" w:rsidP="3311B68D" w:rsidRDefault="50546C89" w14:paraId="7613D746" w14:textId="436D09FB">
            <w:pPr>
              <w:pStyle w:val="Normal"/>
              <w:bidi w:val="0"/>
              <w:spacing w:before="0" w:beforeAutospacing="off" w:after="0" w:afterAutospacing="off" w:line="240" w:lineRule="auto"/>
              <w:ind w:left="0" w:right="0"/>
              <w:jc w:val="left"/>
            </w:pPr>
            <w:r w:rsidRPr="3311B68D" w:rsidR="2973EF67">
              <w:rPr>
                <w:highlight w:val="darkGray"/>
              </w:rPr>
              <w:t>No Information</w:t>
            </w: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311B68D"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069AD739">
            <w:pPr>
              <w:pStyle w:val="Normal"/>
              <w:bidi w:val="0"/>
              <w:spacing w:before="0" w:beforeAutospacing="off" w:after="0" w:afterAutospacing="off" w:line="240" w:lineRule="auto"/>
              <w:ind w:left="0" w:right="0"/>
              <w:jc w:val="left"/>
            </w:pPr>
            <w:r w:rsidRPr="3311B68D" w:rsidR="74BCDB83">
              <w:rPr>
                <w:highlight w:val="red"/>
              </w:rPr>
              <w:t>No:</w:t>
            </w:r>
            <w:r w:rsidR="74BCDB83">
              <w:rPr/>
              <w:t xml:space="preserve"> Participants that were excluded were those with overwhelming neutral emotional expressions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3311B68D"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579C5755">
            <w:pPr>
              <w:spacing w:after="0"/>
              <w:jc w:val="left"/>
              <w:rPr>
                <w:highlight w:val="red"/>
              </w:rPr>
            </w:pPr>
            <w:r w:rsidRPr="3311B68D" w:rsidR="2FDA85CB">
              <w:rPr>
                <w:highlight w:val="red"/>
              </w:rPr>
              <w:t>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3311B68D"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4104B0CD" w:rsidP="3311B68D" w:rsidRDefault="4104B0CD" w14:paraId="46E465E7" w14:textId="3FDF9460">
            <w:pPr>
              <w:pStyle w:val="Normal"/>
              <w:bidi w:val="0"/>
              <w:spacing w:before="0" w:beforeAutospacing="off" w:after="0" w:afterAutospacing="off" w:line="240" w:lineRule="auto"/>
              <w:ind w:left="0" w:right="0"/>
              <w:jc w:val="left"/>
              <w:rPr>
                <w:highlight w:val="darkBlue"/>
              </w:rPr>
            </w:pPr>
            <w:r w:rsidRPr="3311B68D" w:rsidR="4104B0CD">
              <w:rPr>
                <w:highlight w:val="darkBlue"/>
              </w:rPr>
              <w:t>Critical Risk of Bias</w:t>
            </w: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311B68D"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311B68D"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311B68D"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311B68D"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5D42D5F0" w:rsidP="4FC3D980" w:rsidRDefault="5D42D5F0" w14:paraId="7DBED88D" w14:textId="651ABEC8">
            <w:pPr>
              <w:pStyle w:val="Normal"/>
              <w:tabs>
                <w:tab w:val="left" w:leader="none" w:pos="960"/>
              </w:tabs>
              <w:bidi w:val="0"/>
              <w:spacing w:before="0" w:beforeAutospacing="off" w:after="0" w:afterAutospacing="off" w:line="240" w:lineRule="auto"/>
              <w:ind w:left="0" w:right="0"/>
              <w:jc w:val="left"/>
              <w:rPr>
                <w:color w:val="auto"/>
                <w:highlight w:val="red"/>
              </w:rPr>
            </w:pPr>
            <w:r w:rsidRPr="3311B68D" w:rsidR="7127677F">
              <w:rPr>
                <w:color w:val="auto"/>
                <w:highlight w:val="red"/>
              </w:rPr>
              <w:t>Probably Yes</w:t>
            </w:r>
            <w:r w:rsidRPr="3311B68D" w:rsidR="590196C5">
              <w:rPr>
                <w:color w:val="auto"/>
                <w:highlight w:val="red"/>
              </w:rPr>
              <w:t>:</w:t>
            </w:r>
            <w:r w:rsidRPr="3311B68D" w:rsidR="590196C5">
              <w:rPr>
                <w:color w:val="auto"/>
              </w:rPr>
              <w:t xml:space="preserve"> Researchers analyzing the dataset were aware of the experimental procedures</w:t>
            </w:r>
            <w:r w:rsidRPr="3311B68D" w:rsidR="06289BFF">
              <w:rPr>
                <w:color w:val="auto"/>
              </w:rPr>
              <w:t xml:space="preserve"> (IEMOCAP)</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3311B68D"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311B68D"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4B2AC1A6" w:rsidP="3311B68D" w:rsidRDefault="4B2AC1A6" w14:paraId="1B81A0E8" w14:textId="2F64A697">
            <w:pPr>
              <w:pStyle w:val="Normal"/>
              <w:bidi w:val="0"/>
              <w:spacing w:before="0" w:beforeAutospacing="off" w:after="0" w:afterAutospacing="off" w:line="240" w:lineRule="auto"/>
              <w:ind w:left="0" w:right="0"/>
              <w:jc w:val="left"/>
              <w:rPr>
                <w:highlight w:val="red"/>
              </w:rPr>
            </w:pPr>
            <w:r w:rsidRPr="3311B68D" w:rsidR="4430DF72">
              <w:rPr>
                <w:highlight w:val="red"/>
              </w:rPr>
              <w:t xml:space="preserve">Probably </w:t>
            </w:r>
            <w:r w:rsidRPr="3311B68D" w:rsidR="45EEE000">
              <w:rPr>
                <w:highlight w:val="red"/>
              </w:rPr>
              <w:t>Yes:</w:t>
            </w:r>
            <w:r w:rsidR="45EEE000">
              <w:rPr/>
              <w:t xml:space="preserve"> Systematic errors (if any) can be expected due to exclusion of </w:t>
            </w:r>
            <w:r w:rsidR="45EEE000">
              <w:rPr/>
              <w:t>a large number of</w:t>
            </w:r>
            <w:r w:rsidR="45EEE000">
              <w:rPr/>
              <w:t xml:space="preserve"> participants and the inherent drawback of a real-lif</w:t>
            </w:r>
            <w:r w:rsidR="2FCC4CB1">
              <w:rPr/>
              <w:t xml:space="preserve">e </w:t>
            </w:r>
            <w:r w:rsidR="45EEE000">
              <w:rPr/>
              <w:t>call-center database</w:t>
            </w:r>
            <w:r w:rsidR="5E0758B4">
              <w:rPr/>
              <w:t xml:space="preserve">, which is the inability of the experimenters to confirm the </w:t>
            </w:r>
            <w:r w:rsidR="5E0758B4">
              <w:rPr/>
              <w:t>real emotional</w:t>
            </w:r>
            <w:r w:rsidR="5E0758B4">
              <w:rPr/>
              <w:t xml:space="preserve"> state (CEMO)</w:t>
            </w: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311B68D"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3311B68D" w:rsidRDefault="0F1EBF4A" w14:paraId="5D5B2D59" w14:textId="68C97665">
            <w:pPr>
              <w:pStyle w:val="Normal"/>
              <w:tabs>
                <w:tab w:val="left" w:leader="none" w:pos="960"/>
              </w:tabs>
              <w:bidi w:val="0"/>
              <w:spacing w:before="0" w:beforeAutospacing="off" w:after="0" w:afterAutospacing="off" w:line="240" w:lineRule="auto"/>
              <w:ind w:left="0" w:right="0"/>
              <w:jc w:val="left"/>
              <w:rPr>
                <w:highlight w:val="red"/>
              </w:rPr>
            </w:pPr>
            <w:r w:rsidRPr="3311B68D" w:rsidR="0F1EBF4A">
              <w:rPr>
                <w:highlight w:val="red"/>
              </w:rPr>
              <w:t>Serious</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311B68D"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FC3D98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4FC3D98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4FC3D980" w:rsidRDefault="00115063" w14:paraId="338DB2BD" w14:textId="70A7A070">
            <w:pPr>
              <w:pStyle w:val="Normal"/>
              <w:bidi w:val="0"/>
              <w:spacing w:before="0" w:beforeAutospacing="off" w:after="60" w:afterAutospacing="off" w:line="240" w:lineRule="auto"/>
              <w:ind w:left="0" w:right="0"/>
              <w:jc w:val="left"/>
            </w:pPr>
            <w:r w:rsidRPr="4FC3D980" w:rsidR="20E33FBA">
              <w:rPr>
                <w:highlight w:val="darkGray"/>
              </w:rPr>
              <w:t>No Information:</w:t>
            </w:r>
            <w:r w:rsidR="20E33FBA">
              <w:rPr/>
              <w:t xml:space="preserve">The fact that only 4 emotional classes are used, could be attributed to the possible low performance obtained with a higher number of classes, that hindered comparison with </w:t>
            </w:r>
            <w:r w:rsidR="20E33FBA">
              <w:rPr/>
              <w:t>state-of-the-art</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4FC3D98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4FC3D98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4FC3D980" w:rsidRDefault="00F649E9" w14:paraId="538B09AB" w14:textId="59A4087A">
            <w:pPr>
              <w:pStyle w:val="Normal"/>
              <w:bidi w:val="0"/>
              <w:spacing w:before="0" w:beforeAutospacing="off" w:after="60" w:afterAutospacing="off" w:line="240" w:lineRule="auto"/>
              <w:ind w:left="0" w:right="0"/>
              <w:jc w:val="left"/>
            </w:pPr>
            <w:r w:rsidRPr="4FC3D980" w:rsidR="2749D61E">
              <w:rPr>
                <w:highlight w:val="darkGray"/>
              </w:rPr>
              <w:t>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FC3D98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311B68D"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3311B68D"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3311B68D" w:rsidRDefault="06F9BA20" w14:paraId="68A183FE" w14:textId="03E6D7CD">
            <w:pPr>
              <w:pStyle w:val="Normal"/>
              <w:bidi w:val="0"/>
              <w:spacing w:before="0" w:beforeAutospacing="off" w:after="0" w:afterAutospacing="off" w:line="240" w:lineRule="auto"/>
              <w:ind w:left="0" w:right="0"/>
              <w:jc w:val="left"/>
              <w:rPr>
                <w:highlight w:val="darkBlue"/>
              </w:rPr>
            </w:pPr>
            <w:r w:rsidRPr="3311B68D" w:rsidR="442ED550">
              <w:rPr>
                <w:highlight w:val="darkBlue"/>
              </w:rPr>
              <w:t>Critical Risk of Bias</w:t>
            </w: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3311B68D"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310DD6"/>
    <w:rsid w:val="0380E86F"/>
    <w:rsid w:val="03DC08F4"/>
    <w:rsid w:val="04132FD2"/>
    <w:rsid w:val="049CCA7A"/>
    <w:rsid w:val="04E02A39"/>
    <w:rsid w:val="05266DDE"/>
    <w:rsid w:val="052E1736"/>
    <w:rsid w:val="055DE9BF"/>
    <w:rsid w:val="0583C81C"/>
    <w:rsid w:val="05951C79"/>
    <w:rsid w:val="06289BFF"/>
    <w:rsid w:val="065D3C7B"/>
    <w:rsid w:val="06A8DA94"/>
    <w:rsid w:val="06F9BA20"/>
    <w:rsid w:val="070DE127"/>
    <w:rsid w:val="07297D66"/>
    <w:rsid w:val="08179A2C"/>
    <w:rsid w:val="081E2EA0"/>
    <w:rsid w:val="087C896C"/>
    <w:rsid w:val="09816E33"/>
    <w:rsid w:val="09ADDD8B"/>
    <w:rsid w:val="09B9FF01"/>
    <w:rsid w:val="0A06808E"/>
    <w:rsid w:val="0A7BD594"/>
    <w:rsid w:val="0AF51A3B"/>
    <w:rsid w:val="0B59CC0D"/>
    <w:rsid w:val="0B6B4A13"/>
    <w:rsid w:val="0B95AF62"/>
    <w:rsid w:val="0BC1CDFC"/>
    <w:rsid w:val="0C4348B7"/>
    <w:rsid w:val="0CB0B44F"/>
    <w:rsid w:val="0D317FC3"/>
    <w:rsid w:val="0D406516"/>
    <w:rsid w:val="0DB3AEB9"/>
    <w:rsid w:val="0E3E5E67"/>
    <w:rsid w:val="0F1EBF4A"/>
    <w:rsid w:val="0F5B7DC3"/>
    <w:rsid w:val="0F627B14"/>
    <w:rsid w:val="0FE68EED"/>
    <w:rsid w:val="1016FBB9"/>
    <w:rsid w:val="10294085"/>
    <w:rsid w:val="104744DA"/>
    <w:rsid w:val="106C933A"/>
    <w:rsid w:val="108E5F1F"/>
    <w:rsid w:val="1098D716"/>
    <w:rsid w:val="113C7136"/>
    <w:rsid w:val="11B4EC45"/>
    <w:rsid w:val="11FF8FDE"/>
    <w:rsid w:val="12140C86"/>
    <w:rsid w:val="12307965"/>
    <w:rsid w:val="127BAE3A"/>
    <w:rsid w:val="12C8528E"/>
    <w:rsid w:val="1371AF6B"/>
    <w:rsid w:val="137D0338"/>
    <w:rsid w:val="14117E99"/>
    <w:rsid w:val="144B5890"/>
    <w:rsid w:val="14D4EE69"/>
    <w:rsid w:val="14FAC46F"/>
    <w:rsid w:val="15008042"/>
    <w:rsid w:val="15158440"/>
    <w:rsid w:val="1516A668"/>
    <w:rsid w:val="15197776"/>
    <w:rsid w:val="152B1B83"/>
    <w:rsid w:val="158BBEF2"/>
    <w:rsid w:val="15C6F57C"/>
    <w:rsid w:val="15CD1183"/>
    <w:rsid w:val="16707CB5"/>
    <w:rsid w:val="1691BD68"/>
    <w:rsid w:val="16970F99"/>
    <w:rsid w:val="16A3D607"/>
    <w:rsid w:val="16CC8E4B"/>
    <w:rsid w:val="16DE4586"/>
    <w:rsid w:val="1760D1C3"/>
    <w:rsid w:val="17648F2A"/>
    <w:rsid w:val="178030F0"/>
    <w:rsid w:val="1785B088"/>
    <w:rsid w:val="17F8E730"/>
    <w:rsid w:val="18335926"/>
    <w:rsid w:val="1860ED8A"/>
    <w:rsid w:val="1862BC45"/>
    <w:rsid w:val="1903B279"/>
    <w:rsid w:val="192180E9"/>
    <w:rsid w:val="19D3C03C"/>
    <w:rsid w:val="19E234C8"/>
    <w:rsid w:val="19FA4D23"/>
    <w:rsid w:val="19FCBDEB"/>
    <w:rsid w:val="19FE8CA6"/>
    <w:rsid w:val="1A20EB16"/>
    <w:rsid w:val="1A45E1CE"/>
    <w:rsid w:val="1A4607B8"/>
    <w:rsid w:val="1A9A903A"/>
    <w:rsid w:val="1B2292C5"/>
    <w:rsid w:val="1B3448DD"/>
    <w:rsid w:val="1BAB05AB"/>
    <w:rsid w:val="1C2D8BE0"/>
    <w:rsid w:val="1C2FE98A"/>
    <w:rsid w:val="1C837A5A"/>
    <w:rsid w:val="1C8E7B6C"/>
    <w:rsid w:val="1C9F478A"/>
    <w:rsid w:val="1D09F361"/>
    <w:rsid w:val="1D4B063B"/>
    <w:rsid w:val="1D977C06"/>
    <w:rsid w:val="1DD6939F"/>
    <w:rsid w:val="1E51539C"/>
    <w:rsid w:val="1E7EFBAE"/>
    <w:rsid w:val="1EEA806F"/>
    <w:rsid w:val="1F129647"/>
    <w:rsid w:val="1F28254F"/>
    <w:rsid w:val="1FA21A70"/>
    <w:rsid w:val="2021248C"/>
    <w:rsid w:val="2080224B"/>
    <w:rsid w:val="20E08B14"/>
    <w:rsid w:val="20E33FBA"/>
    <w:rsid w:val="20E38965"/>
    <w:rsid w:val="20F075AA"/>
    <w:rsid w:val="2186A119"/>
    <w:rsid w:val="220024CB"/>
    <w:rsid w:val="221940BF"/>
    <w:rsid w:val="2220C317"/>
    <w:rsid w:val="22EAE18C"/>
    <w:rsid w:val="231450F6"/>
    <w:rsid w:val="23656498"/>
    <w:rsid w:val="23D32AF3"/>
    <w:rsid w:val="2462E109"/>
    <w:rsid w:val="246BC7F4"/>
    <w:rsid w:val="248B5C04"/>
    <w:rsid w:val="24A794E6"/>
    <w:rsid w:val="24F84E60"/>
    <w:rsid w:val="25019A9B"/>
    <w:rsid w:val="25048723"/>
    <w:rsid w:val="25E14E92"/>
    <w:rsid w:val="25E8866C"/>
    <w:rsid w:val="263A2ACB"/>
    <w:rsid w:val="269D3174"/>
    <w:rsid w:val="27135FA8"/>
    <w:rsid w:val="272629EA"/>
    <w:rsid w:val="272F3AB4"/>
    <w:rsid w:val="2744C11D"/>
    <w:rsid w:val="27468ED1"/>
    <w:rsid w:val="2749D61E"/>
    <w:rsid w:val="275E0F49"/>
    <w:rsid w:val="277317F3"/>
    <w:rsid w:val="277D1EF3"/>
    <w:rsid w:val="27993CC7"/>
    <w:rsid w:val="27C54D5E"/>
    <w:rsid w:val="27D5FB2C"/>
    <w:rsid w:val="27E47B46"/>
    <w:rsid w:val="28A05030"/>
    <w:rsid w:val="28CC56AB"/>
    <w:rsid w:val="28EC92AF"/>
    <w:rsid w:val="294645FD"/>
    <w:rsid w:val="2971CB8D"/>
    <w:rsid w:val="2973EF67"/>
    <w:rsid w:val="29AB0231"/>
    <w:rsid w:val="29B30794"/>
    <w:rsid w:val="2A27F701"/>
    <w:rsid w:val="2AD9B3C3"/>
    <w:rsid w:val="2B6BBD22"/>
    <w:rsid w:val="2BD9F1B5"/>
    <w:rsid w:val="2BFFE969"/>
    <w:rsid w:val="2C075974"/>
    <w:rsid w:val="2C758424"/>
    <w:rsid w:val="2C8F402B"/>
    <w:rsid w:val="2D080D37"/>
    <w:rsid w:val="2D134EE0"/>
    <w:rsid w:val="2D557C35"/>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C59B76"/>
    <w:rsid w:val="316C478F"/>
    <w:rsid w:val="3175E62C"/>
    <w:rsid w:val="31854B5A"/>
    <w:rsid w:val="31A06D21"/>
    <w:rsid w:val="31A426DB"/>
    <w:rsid w:val="31D4ADC0"/>
    <w:rsid w:val="32276DF0"/>
    <w:rsid w:val="3239FA8C"/>
    <w:rsid w:val="32B65CCF"/>
    <w:rsid w:val="32C707ED"/>
    <w:rsid w:val="3311B68D"/>
    <w:rsid w:val="341F3CD2"/>
    <w:rsid w:val="34AF90F7"/>
    <w:rsid w:val="354667E6"/>
    <w:rsid w:val="35A0F7DD"/>
    <w:rsid w:val="35B09B3C"/>
    <w:rsid w:val="35CBE983"/>
    <w:rsid w:val="35DFDBED"/>
    <w:rsid w:val="36608C17"/>
    <w:rsid w:val="36B8E6B5"/>
    <w:rsid w:val="36D5726F"/>
    <w:rsid w:val="371408B9"/>
    <w:rsid w:val="376CB84A"/>
    <w:rsid w:val="3778E3B7"/>
    <w:rsid w:val="377BAC4E"/>
    <w:rsid w:val="379C2411"/>
    <w:rsid w:val="37B5DA9B"/>
    <w:rsid w:val="37E731B9"/>
    <w:rsid w:val="37F9F6AF"/>
    <w:rsid w:val="388F63E7"/>
    <w:rsid w:val="38998E38"/>
    <w:rsid w:val="38D765C1"/>
    <w:rsid w:val="39038A45"/>
    <w:rsid w:val="393700A4"/>
    <w:rsid w:val="396919E4"/>
    <w:rsid w:val="3A36ED23"/>
    <w:rsid w:val="3A417C27"/>
    <w:rsid w:val="3A9F5AA6"/>
    <w:rsid w:val="3AEC4673"/>
    <w:rsid w:val="3C868F40"/>
    <w:rsid w:val="3C93B76D"/>
    <w:rsid w:val="3C9E2405"/>
    <w:rsid w:val="3D13BF80"/>
    <w:rsid w:val="3D2CC549"/>
    <w:rsid w:val="3D448101"/>
    <w:rsid w:val="3E2F87CE"/>
    <w:rsid w:val="3EA4CA84"/>
    <w:rsid w:val="3EF889EA"/>
    <w:rsid w:val="3F3F358C"/>
    <w:rsid w:val="3F859170"/>
    <w:rsid w:val="3F894F43"/>
    <w:rsid w:val="3F8B9709"/>
    <w:rsid w:val="3FABD366"/>
    <w:rsid w:val="3FB6010F"/>
    <w:rsid w:val="3FCB582F"/>
    <w:rsid w:val="4072C46D"/>
    <w:rsid w:val="40A6CDC2"/>
    <w:rsid w:val="40C46D82"/>
    <w:rsid w:val="4104B0CD"/>
    <w:rsid w:val="41B68BF1"/>
    <w:rsid w:val="41BA0EF6"/>
    <w:rsid w:val="41C6DB5A"/>
    <w:rsid w:val="427BA3B1"/>
    <w:rsid w:val="42C43C7B"/>
    <w:rsid w:val="4378AF3E"/>
    <w:rsid w:val="43A262A6"/>
    <w:rsid w:val="43E7EBCA"/>
    <w:rsid w:val="43EAD539"/>
    <w:rsid w:val="442ED550"/>
    <w:rsid w:val="4430B7D0"/>
    <w:rsid w:val="4430DF72"/>
    <w:rsid w:val="44460AE4"/>
    <w:rsid w:val="448CEC97"/>
    <w:rsid w:val="44F0FAEC"/>
    <w:rsid w:val="4506FF40"/>
    <w:rsid w:val="4518EFD5"/>
    <w:rsid w:val="45396D26"/>
    <w:rsid w:val="45503B1B"/>
    <w:rsid w:val="45EEE000"/>
    <w:rsid w:val="464BCF7A"/>
    <w:rsid w:val="46978A0F"/>
    <w:rsid w:val="46DAEA2F"/>
    <w:rsid w:val="474ABEDB"/>
    <w:rsid w:val="4782FD94"/>
    <w:rsid w:val="4791760B"/>
    <w:rsid w:val="4799BD9E"/>
    <w:rsid w:val="47A5FB05"/>
    <w:rsid w:val="47C5EED2"/>
    <w:rsid w:val="4903DD6C"/>
    <w:rsid w:val="492F777C"/>
    <w:rsid w:val="4994D327"/>
    <w:rsid w:val="499A2016"/>
    <w:rsid w:val="49CF2AD1"/>
    <w:rsid w:val="4A049CD3"/>
    <w:rsid w:val="4A217CCE"/>
    <w:rsid w:val="4A28A4F8"/>
    <w:rsid w:val="4A9C1F2B"/>
    <w:rsid w:val="4AAFB71A"/>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C3D980"/>
    <w:rsid w:val="4FE74334"/>
    <w:rsid w:val="504496AA"/>
    <w:rsid w:val="50546C89"/>
    <w:rsid w:val="5086C810"/>
    <w:rsid w:val="516F6B69"/>
    <w:rsid w:val="51BAE28A"/>
    <w:rsid w:val="521C8C93"/>
    <w:rsid w:val="52651D81"/>
    <w:rsid w:val="5302C278"/>
    <w:rsid w:val="53178BF1"/>
    <w:rsid w:val="5320E74D"/>
    <w:rsid w:val="532EC860"/>
    <w:rsid w:val="53644560"/>
    <w:rsid w:val="53A36206"/>
    <w:rsid w:val="53FCA097"/>
    <w:rsid w:val="544D2D23"/>
    <w:rsid w:val="546BDAAD"/>
    <w:rsid w:val="5478F600"/>
    <w:rsid w:val="54951B34"/>
    <w:rsid w:val="54E1E6D6"/>
    <w:rsid w:val="5513606C"/>
    <w:rsid w:val="5520A552"/>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C543AA"/>
    <w:rsid w:val="59E1F189"/>
    <w:rsid w:val="59F22A97"/>
    <w:rsid w:val="5A190C55"/>
    <w:rsid w:val="5A70BBE7"/>
    <w:rsid w:val="5AEF098E"/>
    <w:rsid w:val="5B2BFAF1"/>
    <w:rsid w:val="5BBDCF51"/>
    <w:rsid w:val="5C2A8193"/>
    <w:rsid w:val="5CEB9409"/>
    <w:rsid w:val="5D30946D"/>
    <w:rsid w:val="5D42D5F0"/>
    <w:rsid w:val="5D687CA9"/>
    <w:rsid w:val="5D799CDD"/>
    <w:rsid w:val="5DC90A0A"/>
    <w:rsid w:val="5DDA52B0"/>
    <w:rsid w:val="5E0758B4"/>
    <w:rsid w:val="5E7F8C70"/>
    <w:rsid w:val="5EAA4755"/>
    <w:rsid w:val="5EB72BB9"/>
    <w:rsid w:val="5F044D0A"/>
    <w:rsid w:val="5F0EA280"/>
    <w:rsid w:val="5FA0D425"/>
    <w:rsid w:val="5FAC82B1"/>
    <w:rsid w:val="5FE21AD9"/>
    <w:rsid w:val="601B5CD1"/>
    <w:rsid w:val="602874CC"/>
    <w:rsid w:val="60817B58"/>
    <w:rsid w:val="608D7D0E"/>
    <w:rsid w:val="60A01D6B"/>
    <w:rsid w:val="61B8967D"/>
    <w:rsid w:val="620E4E3A"/>
    <w:rsid w:val="62766CC4"/>
    <w:rsid w:val="62F4C81E"/>
    <w:rsid w:val="630012A5"/>
    <w:rsid w:val="63183E27"/>
    <w:rsid w:val="639EBE26"/>
    <w:rsid w:val="64000F42"/>
    <w:rsid w:val="65049BB3"/>
    <w:rsid w:val="65172F39"/>
    <w:rsid w:val="653A79FE"/>
    <w:rsid w:val="6543E5C7"/>
    <w:rsid w:val="659047FD"/>
    <w:rsid w:val="65AFA67C"/>
    <w:rsid w:val="65B9520B"/>
    <w:rsid w:val="65C2916E"/>
    <w:rsid w:val="665E409E"/>
    <w:rsid w:val="6703EF0C"/>
    <w:rsid w:val="678B0048"/>
    <w:rsid w:val="67C5FC43"/>
    <w:rsid w:val="67F84C42"/>
    <w:rsid w:val="6857EC37"/>
    <w:rsid w:val="68DD8F03"/>
    <w:rsid w:val="697CF03B"/>
    <w:rsid w:val="69E7F21E"/>
    <w:rsid w:val="6A0C16F8"/>
    <w:rsid w:val="6AC64918"/>
    <w:rsid w:val="6B6CDF92"/>
    <w:rsid w:val="6B72AC3F"/>
    <w:rsid w:val="6BE1ACB5"/>
    <w:rsid w:val="6CA5F810"/>
    <w:rsid w:val="6D84D0B0"/>
    <w:rsid w:val="6D868DF9"/>
    <w:rsid w:val="6DAB3B93"/>
    <w:rsid w:val="6DBFBD38"/>
    <w:rsid w:val="6DDDC8BE"/>
    <w:rsid w:val="6E710A40"/>
    <w:rsid w:val="6E7B3A0C"/>
    <w:rsid w:val="6E7C8594"/>
    <w:rsid w:val="6EDB7821"/>
    <w:rsid w:val="6EF3CC46"/>
    <w:rsid w:val="6F13C13C"/>
    <w:rsid w:val="6F743B5F"/>
    <w:rsid w:val="6F9F6863"/>
    <w:rsid w:val="6FC5326E"/>
    <w:rsid w:val="70021251"/>
    <w:rsid w:val="708AB199"/>
    <w:rsid w:val="70C98474"/>
    <w:rsid w:val="711C24C0"/>
    <w:rsid w:val="7127677F"/>
    <w:rsid w:val="714F8697"/>
    <w:rsid w:val="71667F1E"/>
    <w:rsid w:val="718B114B"/>
    <w:rsid w:val="71C8087D"/>
    <w:rsid w:val="72319D41"/>
    <w:rsid w:val="72D2A677"/>
    <w:rsid w:val="72E17623"/>
    <w:rsid w:val="72F1CA7A"/>
    <w:rsid w:val="735576A5"/>
    <w:rsid w:val="7375F407"/>
    <w:rsid w:val="738A51E2"/>
    <w:rsid w:val="73ADAB70"/>
    <w:rsid w:val="73D3CB53"/>
    <w:rsid w:val="73D4E1D3"/>
    <w:rsid w:val="73DAE9D7"/>
    <w:rsid w:val="7415A028"/>
    <w:rsid w:val="74599D19"/>
    <w:rsid w:val="749EF352"/>
    <w:rsid w:val="74BAC69A"/>
    <w:rsid w:val="74BCDB83"/>
    <w:rsid w:val="74C89A29"/>
    <w:rsid w:val="75555FC3"/>
    <w:rsid w:val="7580136C"/>
    <w:rsid w:val="758823CF"/>
    <w:rsid w:val="75DD5E41"/>
    <w:rsid w:val="765EBA41"/>
    <w:rsid w:val="76B3445B"/>
    <w:rsid w:val="76B701C2"/>
    <w:rsid w:val="76BBCAA9"/>
    <w:rsid w:val="770AD08C"/>
    <w:rsid w:val="774A360D"/>
    <w:rsid w:val="7798060D"/>
    <w:rsid w:val="78C9DBFC"/>
    <w:rsid w:val="78D42EBC"/>
    <w:rsid w:val="792D0CE2"/>
    <w:rsid w:val="79584DEA"/>
    <w:rsid w:val="79AB374D"/>
    <w:rsid w:val="7A6DD5EF"/>
    <w:rsid w:val="7A81D6CF"/>
    <w:rsid w:val="7AD26DCC"/>
    <w:rsid w:val="7ADAF5EE"/>
    <w:rsid w:val="7B403028"/>
    <w:rsid w:val="7B8B0B4F"/>
    <w:rsid w:val="7B981618"/>
    <w:rsid w:val="7BF4BFEC"/>
    <w:rsid w:val="7C155BD7"/>
    <w:rsid w:val="7CD38E72"/>
    <w:rsid w:val="7CE24BC0"/>
    <w:rsid w:val="7DFE9C71"/>
    <w:rsid w:val="7E0CC396"/>
    <w:rsid w:val="7E3CF307"/>
    <w:rsid w:val="7E4DF76B"/>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17</revision>
  <lastPrinted>2016-10-10T11:09:00.0000000Z</lastPrinted>
  <dcterms:created xsi:type="dcterms:W3CDTF">2021-04-01T20:14:00.0000000Z</dcterms:created>
  <dcterms:modified xsi:type="dcterms:W3CDTF">2023-06-18T19:14:05.8554330Z</dcterms:modified>
</coreProperties>
</file>