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267BC993"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267BC993"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1D8AF907" w:rsidP="267BC993" w:rsidRDefault="1D8AF907" w14:paraId="29E56D5E" w14:textId="000A406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267BC993" w:rsidR="537E19EB">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381737AB" w:rsidP="381737AB" w:rsidRDefault="381737AB" w14:paraId="1C14BCEA" w14:textId="311BC35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267BC993"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3BD333" w:rsidRDefault="00115063" w14:paraId="14FAA946" w14:textId="2F62BF83">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115063" w14:paraId="7C3F2359" w14:textId="469079BF">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4F07FE2" w14:textId="76BF8140">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A7AF665" w14:textId="2083D8B8">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3221EC22" w14:textId="4578A135">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267BC993"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267BC993"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267BC993"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267BC993" w:rsidRDefault="00217378" w14:paraId="4B13BB11" w14:textId="000A406E">
            <w:pPr>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267BC993" w:rsidR="1A9F105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977A0A" w:rsidP="267BC993" w:rsidRDefault="00217378" w14:paraId="68716BB0" w14:textId="6CC2BFD4">
            <w:pPr>
              <w:pStyle w:val="Normal"/>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p>
          <w:p w:rsidRPr="002C1D39" w:rsidR="00977A0A" w:rsidP="34B457D3" w:rsidRDefault="00217378" w14:paraId="10C2FFD6" w14:textId="5BC585A6">
            <w:pPr>
              <w:pStyle w:val="Normal"/>
              <w:tabs>
                <w:tab w:val="left" w:leader="none" w:pos="960"/>
              </w:tabs>
              <w:bidi w:val="0"/>
              <w:spacing w:before="0" w:beforeAutospacing="off" w:after="0" w:afterAutospacing="off" w:line="240" w:lineRule="auto"/>
              <w:ind w:left="0" w:right="0"/>
              <w:jc w:val="left"/>
              <w:rPr>
                <w:highlight w:val="red"/>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67BC993"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03BD333"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003BD333"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003BD333" w:rsidRDefault="002F0F7A" w14:paraId="0814B186" w14:textId="5771C539">
            <w:pPr>
              <w:spacing w:after="0"/>
              <w:jc w:val="left"/>
              <w:rPr>
                <w:color w:val="auto"/>
                <w:highlight w:val="green"/>
              </w:rPr>
            </w:pPr>
            <w:r w:rsidRPr="003BD333" w:rsidR="354B7E91">
              <w:rPr>
                <w:color w:val="auto"/>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34B457D3" w:rsidRDefault="00115063" w14:paraId="1CEB16E2" w14:textId="77777777" w14:noSpellErr="1">
            <w:pPr>
              <w:spacing w:after="0"/>
              <w:jc w:val="center"/>
              <w:rPr>
                <w:color w:val="auto"/>
                <w:highlight w:val="darkGray"/>
              </w:rPr>
            </w:pPr>
            <w:r w:rsidRPr="34B457D3" w:rsidR="00115063">
              <w:rPr>
                <w:color w:val="auto"/>
                <w:highlight w:val="darkGray"/>
                <w:u w:val="single"/>
              </w:rPr>
              <w:t>Y</w:t>
            </w:r>
            <w:r w:rsidRPr="34B457D3" w:rsidR="00115063">
              <w:rPr>
                <w:color w:val="auto"/>
                <w:highlight w:val="darkGray"/>
                <w:u w:val="single"/>
              </w:rPr>
              <w:t xml:space="preserve"> / PY</w:t>
            </w:r>
            <w:r w:rsidRPr="34B457D3" w:rsidR="00115063">
              <w:rPr>
                <w:color w:val="auto"/>
                <w:highlight w:val="darkGray"/>
              </w:rPr>
              <w:t xml:space="preserve"> / </w:t>
            </w:r>
            <w:r w:rsidRPr="34B457D3" w:rsidR="00115063">
              <w:rPr>
                <w:color w:val="auto"/>
                <w:highlight w:val="darkGray"/>
              </w:rPr>
              <w:t>PN / N</w:t>
            </w:r>
            <w:r w:rsidRPr="34B457D3" w:rsidR="00115063">
              <w:rPr>
                <w:color w:val="auto"/>
                <w:highlight w:val="darkGray"/>
              </w:rPr>
              <w:t xml:space="preserve"> / NI</w:t>
            </w:r>
          </w:p>
        </w:tc>
      </w:tr>
      <w:tr w:rsidRPr="002C1D39" w:rsidR="00115063" w:rsidTr="003BD333"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3BD333" w:rsidRDefault="00115063" w14:paraId="63371CD8" w14:textId="7D3D4A0C">
            <w:pPr>
              <w:spacing w:after="0"/>
              <w:jc w:val="left"/>
              <w:rPr>
                <w:highlight w:val="red"/>
              </w:rPr>
            </w:pPr>
            <w:r w:rsidRPr="003BD333" w:rsidR="4675A993">
              <w:rPr>
                <w:highlight w:val="red"/>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03BD333"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3BD333" w:rsidRDefault="00115063" w14:paraId="1539AF77" w14:textId="61352D49">
            <w:pPr>
              <w:spacing w:after="0"/>
              <w:jc w:val="left"/>
              <w:rPr>
                <w:color w:val="auto"/>
                <w:highlight w:val="green"/>
              </w:rPr>
            </w:pPr>
            <w:r w:rsidRPr="003BD333" w:rsidR="47611DEA">
              <w:rPr>
                <w:color w:val="auto"/>
                <w:highlight w:val="green"/>
              </w:rPr>
              <w:t>Probably No</w:t>
            </w:r>
          </w:p>
          <w:p w:rsidRPr="002C1D39" w:rsidR="00115063" w:rsidP="003BD333" w:rsidRDefault="00115063" w14:paraId="1B91047F" w14:textId="3A65F167">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003BD333"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003BD333" w:rsidRDefault="002F0F7A" w14:paraId="7452720A" w14:textId="1393463F">
            <w:pPr>
              <w:autoSpaceDE w:val="0"/>
              <w:autoSpaceDN w:val="0"/>
              <w:adjustRightInd w:val="0"/>
              <w:spacing w:after="0"/>
              <w:jc w:val="left"/>
              <w:rPr>
                <w:color w:val="auto"/>
                <w:highlight w:val="magenta"/>
              </w:rPr>
            </w:pPr>
            <w:r w:rsidRPr="003BD333" w:rsidR="1565C590">
              <w:rPr>
                <w:color w:val="auto"/>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3BD333"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67BC993"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67BC993"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4578C00F" w:rsidP="267BC993" w:rsidRDefault="4578C00F" w14:paraId="67958FD3" w14:textId="000A406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267BC993" w:rsidR="4578C00F">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267BC993" w:rsidP="267BC993" w:rsidRDefault="267BC993" w14:paraId="72C2D081" w14:textId="322CD84B">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267BC993"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C65CBA" w14:paraId="390AF305" w14:textId="11D788DE">
            <w:pPr>
              <w:spacing w:after="0" w:line="240" w:lineRule="auto"/>
              <w:jc w:val="left"/>
              <w:rPr>
                <w:rFonts w:ascii="Calibri" w:hAnsi="Calibri" w:eastAsia="Calibri" w:cs="Calibri"/>
                <w:noProof w:val="0"/>
                <w:sz w:val="22"/>
                <w:szCs w:val="22"/>
                <w:lang w:val="en-US"/>
              </w:rPr>
            </w:pPr>
            <w:r w:rsidRPr="003BD333" w:rsidR="3EC8840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003BD333" w:rsidR="74D78E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w:t>
            </w:r>
          </w:p>
          <w:p w:rsidRPr="002C1D39" w:rsidR="00115063" w:rsidP="003BD333" w:rsidRDefault="00C65CBA" w14:paraId="68F74621" w14:textId="07FF896E">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67BC993"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39851FB5" w14:textId="3EB952F1">
            <w:pPr>
              <w:spacing w:after="0" w:line="240" w:lineRule="auto"/>
              <w:jc w:val="left"/>
              <w:rPr>
                <w:rFonts w:ascii="Calibri" w:hAnsi="Calibri" w:eastAsia="Calibri" w:cs="Calibri"/>
                <w:noProof w:val="0"/>
                <w:sz w:val="22"/>
                <w:szCs w:val="22"/>
                <w:lang w:val="en-US"/>
              </w:rPr>
            </w:pPr>
            <w:r w:rsidRPr="003BD333" w:rsidR="626AB7B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67BC993"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267BC993"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267BC993"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267BC993" w:rsidRDefault="00797C92" w14:paraId="5826E0CB" w14:textId="000A406E">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267BC993" w:rsidR="70F13F93">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797C92" w:rsidP="267BC993" w:rsidRDefault="00797C92" w14:paraId="2A62AF4F" w14:textId="16C68926">
            <w:pPr>
              <w:pStyle w:val="Normal"/>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p>
          <w:p w:rsidRPr="002C1D39" w:rsidR="00797C92" w:rsidP="003BD333" w:rsidRDefault="00797C92" w14:paraId="1ADB0AA8" w14:textId="1195E7D0">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267BC993"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67BC993"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267BC993"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381737AB" w:rsidRDefault="006F1133" w14:paraId="416F7BB1" w14:textId="13529480">
            <w:pPr>
              <w:pStyle w:val="Normal"/>
              <w:bidi w:val="0"/>
              <w:spacing w:before="0" w:beforeAutospacing="off" w:after="60" w:afterAutospacing="off" w:line="240" w:lineRule="auto"/>
              <w:ind w:left="0" w:right="0"/>
              <w:jc w:val="left"/>
              <w:rPr>
                <w:highlight w:val="red"/>
              </w:rPr>
            </w:pPr>
            <w:r w:rsidRPr="267BC993" w:rsidR="61C590FC">
              <w:rPr>
                <w:highlight w:val="red"/>
              </w:rPr>
              <w:t xml:space="preserve">Probably </w:t>
            </w:r>
            <w:r w:rsidRPr="267BC993" w:rsidR="5A7AE5E3">
              <w:rPr>
                <w:highlight w:val="red"/>
              </w:rPr>
              <w:t>Yes</w:t>
            </w:r>
            <w:r w:rsidRPr="267BC993" w:rsidR="0363C41F">
              <w:rPr>
                <w:highlight w:val="red"/>
              </w:rPr>
              <w:t xml:space="preserve">: </w:t>
            </w:r>
            <w:r w:rsidR="0363C41F">
              <w:rPr/>
              <w:t xml:space="preserve">no </w:t>
            </w:r>
            <w:r w:rsidR="0363C41F">
              <w:rPr/>
              <w:t>speaker-independent</w:t>
            </w:r>
            <w:r w:rsidR="0363C41F">
              <w:rPr/>
              <w:t xml:space="preserve">. Augmentation is done before splitting the datasets. This induces bias. It is also visible from the extremely high results (unrealistic), that drop significantly without the augmentation. In </w:t>
            </w:r>
            <w:r w:rsidR="0363C41F">
              <w:rPr/>
              <w:t>general</w:t>
            </w:r>
            <w:r w:rsidR="0363C41F">
              <w:rPr/>
              <w:t xml:space="preserve"> a very biased </w:t>
            </w:r>
            <w:r w:rsidR="0363C41F">
              <w:rPr/>
              <w:t>methodology</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67BC993"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81737AB" w:rsidRDefault="00C65CBA" w14:paraId="380D5648" w14:textId="76B13A84">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381737AB" w:rsidR="5FD90EA1">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 xml:space="preserve">Probably </w:t>
            </w:r>
            <w:r w:rsidRPr="381737AB" w:rsidR="4735977A">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Yes</w:t>
            </w:r>
          </w:p>
          <w:p w:rsidRPr="002C1D39" w:rsidR="00115063" w:rsidP="381737AB" w:rsidRDefault="00C65CBA" w14:paraId="73C42788" w14:textId="30156F29">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67BC993"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67BC993"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0B23544" w14:textId="72537283">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381737AB" w:rsidR="4900EFF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267BC993"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267BC993" w:rsidRDefault="00A90EA7" w14:paraId="077B5DD8" w14:textId="1485DAA5">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blue"/>
                <w:lang w:val="en-US"/>
              </w:rPr>
            </w:pPr>
            <w:r w:rsidRPr="267BC993" w:rsidR="2113F646">
              <w:rPr>
                <w:rFonts w:ascii="Calibri" w:hAnsi="Calibri" w:eastAsia="Calibri" w:cs="Calibri"/>
                <w:b w:val="0"/>
                <w:bCs w:val="0"/>
                <w:i w:val="0"/>
                <w:iCs w:val="0"/>
                <w:caps w:val="0"/>
                <w:smallCaps w:val="0"/>
                <w:noProof w:val="0"/>
                <w:color w:val="000000" w:themeColor="text1" w:themeTint="FF" w:themeShade="FF"/>
                <w:sz w:val="22"/>
                <w:szCs w:val="22"/>
                <w:highlight w:val="blue"/>
                <w:lang w:val="en-US"/>
              </w:rPr>
              <w:t>Critical</w:t>
            </w:r>
            <w:r w:rsidRPr="267BC993" w:rsidR="297D8654">
              <w:rPr>
                <w:rFonts w:ascii="Calibri" w:hAnsi="Calibri" w:eastAsia="Calibri" w:cs="Calibri"/>
                <w:b w:val="0"/>
                <w:bCs w:val="0"/>
                <w:i w:val="0"/>
                <w:iCs w:val="0"/>
                <w:caps w:val="0"/>
                <w:smallCaps w:val="0"/>
                <w:noProof w:val="0"/>
                <w:color w:val="000000" w:themeColor="text1" w:themeTint="FF" w:themeShade="FF"/>
                <w:sz w:val="22"/>
                <w:szCs w:val="22"/>
                <w:highlight w:val="blue"/>
                <w:lang w:val="en-US"/>
              </w:rPr>
              <w:t xml:space="preserve"> Risk of Bias</w:t>
            </w:r>
          </w:p>
          <w:p w:rsidRPr="002C1D39" w:rsidR="00F649E9" w:rsidP="381737AB" w:rsidRDefault="00A90EA7" w14:paraId="164ACEC4" w14:textId="57AD5D3E">
            <w:pPr>
              <w:pStyle w:val="Normal"/>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267BC993"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81737AB"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381737AB"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381737AB"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381737AB" w:rsidRDefault="00AF4605" w14:paraId="224C2D30" w14:textId="252766C8">
            <w:pPr>
              <w:spacing w:after="6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D104B9">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381737AB" w:rsidR="1F4D8068">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w:t>
            </w:r>
          </w:p>
          <w:p w:rsidRPr="002C1D39" w:rsidR="00115063" w:rsidP="003BD333" w:rsidRDefault="00AF4605" w14:paraId="62CB16D4" w14:textId="049C17AF">
            <w:pPr>
              <w:pStyle w:val="Normal"/>
              <w:jc w:val="left"/>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003BD333" w:rsidRDefault="00115063" w14:paraId="6990B78F" w14:textId="3454B139">
            <w:pPr>
              <w:jc w:val="left"/>
              <w:rPr>
                <w:highlight w:val="green"/>
              </w:rPr>
            </w:pPr>
            <w:r w:rsidRPr="003BD333" w:rsidR="607FB244">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173C13E" w14:textId="271315F8">
            <w:pPr>
              <w:jc w:val="left"/>
              <w:rPr>
                <w:highlight w:val="green"/>
              </w:rPr>
            </w:pPr>
            <w:r w:rsidRPr="381737AB" w:rsidR="4768B871">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381737AB"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381737AB" w:rsidRDefault="00AF4605" w14:paraId="40F12436" w14:textId="126069AB">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0EA1DB2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F649E9" w:rsidR="00115063" w:rsidP="381737AB" w:rsidRDefault="00AF4605" w14:paraId="538B09AB" w14:textId="3225B424">
            <w:pPr>
              <w:pStyle w:val="Normal"/>
              <w:tabs>
                <w:tab w:val="left" w:pos="960"/>
              </w:tabs>
              <w:autoSpaceDE w:val="0"/>
              <w:autoSpaceDN w:val="0"/>
              <w:adjustRightInd w:val="0"/>
              <w:spacing w:after="0"/>
              <w:jc w:val="left"/>
              <w:rPr>
                <w:highlight w:val="magenta"/>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67BC993"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267BC993"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267BC993" w:rsidRDefault="00CB0AB7" w14:paraId="5B327E71" w14:textId="1485DAA5">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blue"/>
                <w:lang w:val="en-US"/>
              </w:rPr>
            </w:pPr>
            <w:r w:rsidRPr="267BC993" w:rsidR="741D6E38">
              <w:rPr>
                <w:rFonts w:ascii="Calibri" w:hAnsi="Calibri" w:eastAsia="Calibri" w:cs="Calibri"/>
                <w:b w:val="0"/>
                <w:bCs w:val="0"/>
                <w:i w:val="0"/>
                <w:iCs w:val="0"/>
                <w:caps w:val="0"/>
                <w:smallCaps w:val="0"/>
                <w:noProof w:val="0"/>
                <w:color w:val="000000" w:themeColor="text1" w:themeTint="FF" w:themeShade="FF"/>
                <w:sz w:val="22"/>
                <w:szCs w:val="22"/>
                <w:highlight w:val="blue"/>
                <w:lang w:val="en-US"/>
              </w:rPr>
              <w:t>Critical Risk of Bias</w:t>
            </w:r>
          </w:p>
          <w:p w:rsidRPr="002C1D39" w:rsidR="00115063" w:rsidP="267BC993" w:rsidRDefault="00CB0AB7" w14:paraId="64C24BD2" w14:textId="300179B0">
            <w:pPr>
              <w:pStyle w:val="Normal"/>
              <w:tabs>
                <w:tab w:val="left" w:leader="none" w:pos="960"/>
              </w:tabs>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67BC993"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BD333"/>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B0C913"/>
    <w:rsid w:val="0363C41F"/>
    <w:rsid w:val="04FBBB9B"/>
    <w:rsid w:val="06F24431"/>
    <w:rsid w:val="0A92EACF"/>
    <w:rsid w:val="0B7B8F41"/>
    <w:rsid w:val="0E60BF1F"/>
    <w:rsid w:val="0EA1DB23"/>
    <w:rsid w:val="0F597945"/>
    <w:rsid w:val="110DB1D7"/>
    <w:rsid w:val="11B932B3"/>
    <w:rsid w:val="11EC7BFF"/>
    <w:rsid w:val="1328B9CB"/>
    <w:rsid w:val="13A6853D"/>
    <w:rsid w:val="1565C590"/>
    <w:rsid w:val="17506955"/>
    <w:rsid w:val="1860CE03"/>
    <w:rsid w:val="19FC9E64"/>
    <w:rsid w:val="1A22AF97"/>
    <w:rsid w:val="1A9F1058"/>
    <w:rsid w:val="1B7F4108"/>
    <w:rsid w:val="1B986EC5"/>
    <w:rsid w:val="1D8AF907"/>
    <w:rsid w:val="1EC78FA1"/>
    <w:rsid w:val="1EEB5E26"/>
    <w:rsid w:val="1F4D8068"/>
    <w:rsid w:val="2113F646"/>
    <w:rsid w:val="2189E4D7"/>
    <w:rsid w:val="267BC993"/>
    <w:rsid w:val="297D3D65"/>
    <w:rsid w:val="297D8654"/>
    <w:rsid w:val="2B557064"/>
    <w:rsid w:val="2C8D558A"/>
    <w:rsid w:val="30EA494D"/>
    <w:rsid w:val="324CD297"/>
    <w:rsid w:val="329A0966"/>
    <w:rsid w:val="32D104B9"/>
    <w:rsid w:val="32E3BE0F"/>
    <w:rsid w:val="34B457D3"/>
    <w:rsid w:val="354B7E91"/>
    <w:rsid w:val="37AF4DC0"/>
    <w:rsid w:val="381737AB"/>
    <w:rsid w:val="3967B02D"/>
    <w:rsid w:val="3AB5A181"/>
    <w:rsid w:val="3B03808E"/>
    <w:rsid w:val="3C86E6F7"/>
    <w:rsid w:val="3D5153BE"/>
    <w:rsid w:val="3DDBC977"/>
    <w:rsid w:val="3EC8840B"/>
    <w:rsid w:val="3F068149"/>
    <w:rsid w:val="40872E30"/>
    <w:rsid w:val="40A251AA"/>
    <w:rsid w:val="4158AF5C"/>
    <w:rsid w:val="44FB7B6C"/>
    <w:rsid w:val="4578C00F"/>
    <w:rsid w:val="4675A993"/>
    <w:rsid w:val="4735977A"/>
    <w:rsid w:val="47611DEA"/>
    <w:rsid w:val="4768B871"/>
    <w:rsid w:val="4900EFF8"/>
    <w:rsid w:val="4ADDCDFC"/>
    <w:rsid w:val="4B2191DE"/>
    <w:rsid w:val="4E400A43"/>
    <w:rsid w:val="4FAE7DB6"/>
    <w:rsid w:val="533B5DAE"/>
    <w:rsid w:val="537E19EB"/>
    <w:rsid w:val="54CD885D"/>
    <w:rsid w:val="5615141A"/>
    <w:rsid w:val="57FB2352"/>
    <w:rsid w:val="58353B56"/>
    <w:rsid w:val="59702485"/>
    <w:rsid w:val="5A7AE5E3"/>
    <w:rsid w:val="5ABF3572"/>
    <w:rsid w:val="5B449E7E"/>
    <w:rsid w:val="5EC658E0"/>
    <w:rsid w:val="5FD90EA1"/>
    <w:rsid w:val="607FB244"/>
    <w:rsid w:val="61C590FC"/>
    <w:rsid w:val="626AB7B5"/>
    <w:rsid w:val="644CEF5B"/>
    <w:rsid w:val="64CD5D17"/>
    <w:rsid w:val="651A7DF1"/>
    <w:rsid w:val="6577A72D"/>
    <w:rsid w:val="674C82FF"/>
    <w:rsid w:val="6C12F6E8"/>
    <w:rsid w:val="6C7369E2"/>
    <w:rsid w:val="6E0486D8"/>
    <w:rsid w:val="70EE4677"/>
    <w:rsid w:val="70F13F93"/>
    <w:rsid w:val="713EEE97"/>
    <w:rsid w:val="733F255C"/>
    <w:rsid w:val="741D6E38"/>
    <w:rsid w:val="74D78EB3"/>
    <w:rsid w:val="752C6CC8"/>
    <w:rsid w:val="7556D618"/>
    <w:rsid w:val="7ACB05D7"/>
    <w:rsid w:val="7AD1B3A0"/>
    <w:rsid w:val="7D438614"/>
    <w:rsid w:val="7DA0C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13</revision>
  <lastPrinted>2016-10-10T11:09:00.0000000Z</lastPrinted>
  <dcterms:created xsi:type="dcterms:W3CDTF">2023-03-29T06:15:00.0000000Z</dcterms:created>
  <dcterms:modified xsi:type="dcterms:W3CDTF">2023-06-21T22:44:47.2646077Z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