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DB5E468"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DB5E468"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DB5E468"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textId="10EF190D">
            <w:pPr>
              <w:spacing w:after="0"/>
              <w:jc w:val="left"/>
              <w:rPr>
                <w:rFonts w:ascii="Times New Roman" w:hAnsi="Times New Roman" w:cs="Times New Roman"/>
                <w:sz w:val="20"/>
                <w:szCs w:val="20"/>
                <w:lang w:val="en-BH"/>
              </w:rPr>
            </w:pPr>
            <w:r w:rsidRPr="2DB5E468" w:rsidR="69CF4331">
              <w:rPr>
                <w:rFonts w:ascii="Times New Roman" w:hAnsi="Times New Roman" w:cs="Times New Roman"/>
                <w:sz w:val="20"/>
                <w:szCs w:val="20"/>
                <w:highlight w:val="red"/>
                <w:lang w:val="en-BH"/>
              </w:rPr>
              <w:t>Probably Yes</w:t>
            </w:r>
            <w:r w:rsidRPr="2DB5E468" w:rsidR="69CF4331">
              <w:rPr>
                <w:rFonts w:ascii="Times New Roman" w:hAnsi="Times New Roman" w:cs="Times New Roman"/>
                <w:sz w:val="20"/>
                <w:szCs w:val="20"/>
                <w:lang w:val="en-BH"/>
              </w:rPr>
              <w:t xml:space="preserve"> – in meld dataset, Friends is a comedy show. There is </w:t>
            </w:r>
            <w:r w:rsidRPr="2DB5E468" w:rsidR="69CF4331">
              <w:rPr>
                <w:rFonts w:ascii="Times New Roman" w:hAnsi="Times New Roman" w:cs="Times New Roman"/>
                <w:sz w:val="20"/>
                <w:szCs w:val="20"/>
                <w:lang w:val="en-BH"/>
              </w:rPr>
              <w:t>possible confounding</w:t>
            </w:r>
            <w:r w:rsidRPr="2DB5E468" w:rsidR="69CF4331">
              <w:rPr>
                <w:rFonts w:ascii="Times New Roman" w:hAnsi="Times New Roman" w:cs="Times New Roman"/>
                <w:sz w:val="20"/>
                <w:szCs w:val="20"/>
                <w:lang w:val="en-BH"/>
              </w:rPr>
              <w:t xml:space="preserve"> on emotional states </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2DB5E468"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DB5E468"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DB5E468"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2DB5E468"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2DB5E468"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2DB5E468"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2DB5E468"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2DB5E468"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2DB5E468"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2DB5E468"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2DB5E468"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2DB5E468" w:rsidRDefault="00491BC4" w14:paraId="0619C73A" w14:textId="7E2F5267">
            <w:pPr>
              <w:pStyle w:val="Normal"/>
              <w:tabs>
                <w:tab w:val="left" w:leader="none" w:pos="960"/>
              </w:tabs>
              <w:bidi w:val="0"/>
              <w:spacing w:before="0" w:beforeAutospacing="off" w:after="0" w:afterAutospacing="off" w:line="240" w:lineRule="auto"/>
              <w:ind w:left="0" w:right="0"/>
              <w:jc w:val="left"/>
              <w:rPr>
                <w:color w:val="auto"/>
                <w:highlight w:val="magenta"/>
              </w:rPr>
            </w:pPr>
            <w:r w:rsidRPr="2DB5E468" w:rsidR="3A9F874B">
              <w:rPr>
                <w:color w:val="auto"/>
                <w:highlight w:val="magenta"/>
              </w:rPr>
              <w:t>Moderate Risk</w:t>
            </w:r>
            <w:r w:rsidRPr="2DB5E468" w:rsidR="33C3C576">
              <w:rPr>
                <w:color w:val="auto"/>
                <w:highlight w:val="magenta"/>
              </w:rPr>
              <w:t xml:space="preserve">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DB5E468"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DB5E468"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DB5E468"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2DB5E468" w:rsidRDefault="00147E64" w14:paraId="4E07426F" w14:textId="783D9970">
            <w:pPr>
              <w:pStyle w:val="Normal"/>
              <w:tabs>
                <w:tab w:val="left" w:leader="none" w:pos="960"/>
              </w:tabs>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7C67EFC7">
              <w:rPr>
                <w:rFonts w:ascii="Times New Roman" w:hAnsi="Times New Roman" w:cs="Times New Roman"/>
                <w:sz w:val="20"/>
                <w:szCs w:val="20"/>
                <w:highlight w:val="green"/>
                <w:lang w:val="en-BH"/>
              </w:rPr>
              <w:t>Probably No</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2DB5E468"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DB5E468"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2DB5E468"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DB5E468"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DB5E468"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DB5E468"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DB5E468"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2DB5E468" w:rsidRDefault="00147E64" w14:paraId="0814B186"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4D4F1855">
              <w:rPr>
                <w:rFonts w:ascii="Times New Roman" w:hAnsi="Times New Roman" w:cs="Times New Roman"/>
                <w:sz w:val="20"/>
                <w:szCs w:val="20"/>
                <w:highlight w:val="green"/>
                <w:lang w:val="en-BH"/>
              </w:rPr>
              <w:t>Probably No</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2DB5E468"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DB5E468" w:rsidRDefault="00147E64" w14:paraId="63371CD8" w14:textId="6474AE57">
            <w:pPr>
              <w:pStyle w:val="Normal"/>
              <w:bidi w:val="0"/>
              <w:spacing w:before="0" w:beforeAutospacing="off" w:after="0" w:afterAutospacing="off" w:line="240" w:lineRule="auto"/>
              <w:ind w:left="0" w:right="0"/>
              <w:jc w:val="left"/>
            </w:pPr>
            <w:r w:rsidRPr="2DB5E468" w:rsidR="7517C347">
              <w:rPr>
                <w:rFonts w:ascii="Times New Roman" w:hAnsi="Times New Roman" w:cs="Times New Roman"/>
                <w:sz w:val="20"/>
                <w:szCs w:val="20"/>
                <w:highlight w:val="red"/>
                <w:lang w:val="en-BH"/>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2DB5E468"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DB5E468" w:rsidRDefault="00147E64" w14:paraId="73DA20F8"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72056201">
              <w:rPr>
                <w:rFonts w:ascii="Times New Roman" w:hAnsi="Times New Roman" w:cs="Times New Roman"/>
                <w:sz w:val="20"/>
                <w:szCs w:val="20"/>
                <w:highlight w:val="green"/>
                <w:lang w:val="en-BH"/>
              </w:rPr>
              <w:t>Probably No</w:t>
            </w:r>
          </w:p>
          <w:p w:rsidRPr="002C1D39" w:rsidR="00115063" w:rsidP="2DB5E468" w:rsidRDefault="00147E64" w14:paraId="1B91047F" w14:textId="2CFD3255">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2DB5E468"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DB5E468" w:rsidRDefault="00C65CBA" w14:paraId="7452720A" w14:textId="2E8DCD81">
            <w:pPr>
              <w:pStyle w:val="Normal"/>
              <w:bidi w:val="0"/>
              <w:spacing w:before="0" w:beforeAutospacing="off" w:after="0" w:afterAutospacing="off" w:line="240" w:lineRule="auto"/>
              <w:ind w:left="0" w:right="0"/>
              <w:jc w:val="left"/>
              <w:rPr>
                <w:rFonts w:ascii="Times New Roman" w:hAnsi="Times New Roman" w:cs="Times New Roman"/>
                <w:sz w:val="20"/>
                <w:szCs w:val="20"/>
                <w:highlight w:val="red"/>
                <w:lang w:val="en-BH"/>
              </w:rPr>
            </w:pPr>
            <w:r w:rsidRPr="2DB5E468" w:rsidR="6B015C09">
              <w:rPr>
                <w:rFonts w:ascii="Times New Roman" w:hAnsi="Times New Roman" w:cs="Times New Roman"/>
                <w:sz w:val="20"/>
                <w:szCs w:val="20"/>
                <w:highlight w:val="magenta"/>
                <w:lang w:val="en-BH"/>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DB5E468"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DB5E468"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DB5E468"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DB5E468"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DB5E468"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DB5E468"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DB5E468"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2DB5E468" w:rsidRDefault="00C65CBA" w14:paraId="12E9BCE8" w14:textId="72D53C2B">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20589048">
              <w:rPr>
                <w:rFonts w:ascii="Times New Roman" w:hAnsi="Times New Roman" w:cs="Times New Roman"/>
                <w:sz w:val="20"/>
                <w:szCs w:val="20"/>
                <w:highlight w:val="green"/>
                <w:lang w:val="en-BH"/>
              </w:rPr>
              <w:t>Probably Yes</w:t>
            </w:r>
          </w:p>
          <w:p w:rsidRPr="002C1D39" w:rsidR="00115063" w:rsidP="2DB5E468" w:rsidRDefault="00C65CBA" w14:paraId="50889532" w14:textId="52B35E87">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2DB5E468"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DB5E468" w:rsidRDefault="00C65CBA" w14:paraId="456DB778" w14:textId="587419E4">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2142836A">
              <w:rPr>
                <w:rFonts w:ascii="Times New Roman" w:hAnsi="Times New Roman" w:cs="Times New Roman"/>
                <w:sz w:val="20"/>
                <w:szCs w:val="20"/>
                <w:highlight w:val="green"/>
                <w:lang w:val="en-BH"/>
              </w:rPr>
              <w:t>Probably Yes</w:t>
            </w:r>
          </w:p>
          <w:p w:rsidRPr="002C1D39" w:rsidR="00115063" w:rsidP="2DB5E468" w:rsidRDefault="00C65CBA" w14:paraId="18B8C5CC" w14:textId="445295D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2DB5E468"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DB5E468" w:rsidRDefault="00C65CBA" w14:paraId="516B9D6C" w14:textId="73038198">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7EE252C7">
              <w:rPr>
                <w:rFonts w:ascii="Times New Roman" w:hAnsi="Times New Roman" w:cs="Times New Roman"/>
                <w:sz w:val="20"/>
                <w:szCs w:val="20"/>
                <w:highlight w:val="green"/>
                <w:lang w:val="en-BH"/>
              </w:rPr>
              <w:t>Probably Yes</w:t>
            </w:r>
          </w:p>
          <w:p w:rsidRPr="002C1D39" w:rsidR="00115063" w:rsidP="2DB5E468" w:rsidRDefault="00C65CBA" w14:paraId="192C9C23" w14:textId="59D2EAE1">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2DB5E468"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2DB5E468"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2DB5E468" w:rsidRDefault="00C65CBA" w14:paraId="19CCCF83" w14:textId="2D6CE2D3">
            <w:pPr>
              <w:pStyle w:val="Normal"/>
              <w:autoSpaceDE w:val="0"/>
              <w:autoSpaceDN w:val="0"/>
              <w:adjustRightInd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13E30883">
              <w:rPr>
                <w:rFonts w:ascii="Times New Roman" w:hAnsi="Times New Roman" w:cs="Times New Roman"/>
                <w:sz w:val="20"/>
                <w:szCs w:val="20"/>
                <w:highlight w:val="green"/>
                <w:lang w:val="en-BH"/>
              </w:rPr>
              <w:t>Low Risk of Bias</w:t>
            </w:r>
          </w:p>
          <w:p w:rsidRPr="002C1D39" w:rsidR="005726A8" w:rsidP="49297562" w:rsidRDefault="00C65CBA" w14:paraId="21B094C9" w14:textId="75ED1E00">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DB5E468"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DB5E468"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DB5E468"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2DB5E468" w:rsidRDefault="00C65CBA" w14:paraId="0E4A3535" w14:textId="53A843DA">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2A29E370">
              <w:rPr>
                <w:rFonts w:ascii="Times New Roman" w:hAnsi="Times New Roman" w:cs="Times New Roman"/>
                <w:sz w:val="20"/>
                <w:szCs w:val="20"/>
                <w:highlight w:val="green"/>
                <w:lang w:val="en-BH"/>
              </w:rPr>
              <w:t>Probably Yes</w:t>
            </w:r>
          </w:p>
          <w:p w:rsidRPr="002C1D39" w:rsidR="00115063" w:rsidP="49297562" w:rsidRDefault="00C65CBA" w14:paraId="2C9D6C06" w14:textId="2938675F">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2DB5E468"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DB5E468" w:rsidRDefault="00C65CBA" w14:paraId="68F74621" w14:textId="37FA18A2">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10660264">
              <w:rPr>
                <w:rFonts w:ascii="Times New Roman" w:hAnsi="Times New Roman" w:cs="Times New Roman"/>
                <w:sz w:val="20"/>
                <w:szCs w:val="20"/>
                <w:highlight w:val="green"/>
                <w:lang w:val="en-BH"/>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2DB5E468"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DB5E468" w:rsidRDefault="00115063" w14:paraId="4142802B"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4B75062B">
              <w:rPr>
                <w:rFonts w:ascii="Times New Roman" w:hAnsi="Times New Roman" w:cs="Times New Roman"/>
                <w:sz w:val="20"/>
                <w:szCs w:val="20"/>
                <w:highlight w:val="green"/>
                <w:lang w:val="en-BH"/>
              </w:rPr>
              <w:t>Probably No</w:t>
            </w:r>
          </w:p>
          <w:p w:rsidRPr="002C1D39" w:rsidR="00115063" w:rsidP="2DB5E468" w:rsidRDefault="00115063" w14:paraId="74435624" w14:textId="0C0130C5">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2DB5E468"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2DB5E468"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2DB5E468"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2DB5E468"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DB5E468"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2DB5E468"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2DB5E468" w:rsidRDefault="00C65CBA" w14:paraId="270ADB15"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22B79540">
              <w:rPr>
                <w:rFonts w:ascii="Times New Roman" w:hAnsi="Times New Roman" w:cs="Times New Roman"/>
                <w:sz w:val="20"/>
                <w:szCs w:val="20"/>
                <w:highlight w:val="green"/>
                <w:lang w:val="en-BH"/>
              </w:rPr>
              <w:t>Probably No</w:t>
            </w:r>
          </w:p>
          <w:p w:rsidRPr="002C1D39" w:rsidR="00115063" w:rsidP="2DB5E468" w:rsidRDefault="00C65CBA" w14:paraId="416F7BB1" w14:textId="5C92E47C">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2DB5E468"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2DB5E468"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2DB5E468"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2DB5E468"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2DB5E468"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DB5E46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2DB5E468"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2DB5E46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2DB5E468" w:rsidRDefault="00115063" w14:paraId="349A11BE"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189FD2F1">
              <w:rPr>
                <w:rFonts w:ascii="Times New Roman" w:hAnsi="Times New Roman" w:cs="Times New Roman"/>
                <w:sz w:val="20"/>
                <w:szCs w:val="20"/>
                <w:highlight w:val="green"/>
                <w:lang w:val="en-BH"/>
              </w:rPr>
              <w:t>Probably No</w:t>
            </w:r>
          </w:p>
          <w:p w:rsidRPr="002C1D39" w:rsidR="00115063" w:rsidP="2DB5E468" w:rsidRDefault="00115063" w14:paraId="62CB16D4" w14:textId="088C62D2">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DB5E46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2DB5E468" w:rsidRDefault="00115063" w14:paraId="3E76AFD3"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514BF30F">
              <w:rPr>
                <w:rFonts w:ascii="Times New Roman" w:hAnsi="Times New Roman" w:cs="Times New Roman"/>
                <w:sz w:val="20"/>
                <w:szCs w:val="20"/>
                <w:highlight w:val="green"/>
                <w:lang w:val="en-BH"/>
              </w:rPr>
              <w:t>Probably No</w:t>
            </w:r>
          </w:p>
          <w:p w:rsidRPr="002C1D39" w:rsidR="00115063" w:rsidP="2DB5E468" w:rsidRDefault="00115063" w14:paraId="6990B78F" w14:textId="757359B6">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DB5E46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2DB5E468" w:rsidRDefault="00115063" w14:paraId="5FA6D6C1" w14:textId="01125A01">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DB5E468" w:rsidR="514BF30F">
              <w:rPr>
                <w:rFonts w:ascii="Times New Roman" w:hAnsi="Times New Roman" w:cs="Times New Roman"/>
                <w:sz w:val="20"/>
                <w:szCs w:val="20"/>
                <w:highlight w:val="green"/>
                <w:lang w:val="en-BH"/>
              </w:rPr>
              <w:t>Probably No</w:t>
            </w:r>
          </w:p>
          <w:p w:rsidRPr="002C1D39" w:rsidR="00115063" w:rsidP="2DB5E468" w:rsidRDefault="00115063" w14:paraId="4173C13E" w14:textId="0E00510C">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DB5E46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2DB5E46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DB5E468"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2DB5E468"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2DB5E468" w:rsidRDefault="00115063" w14:paraId="64C24BD2" w14:textId="3C3507DA">
            <w:pPr>
              <w:tabs>
                <w:tab w:val="left" w:pos="960"/>
              </w:tabs>
              <w:autoSpaceDE w:val="0"/>
              <w:autoSpaceDN w:val="0"/>
              <w:adjustRightInd w:val="0"/>
              <w:spacing w:after="0"/>
              <w:jc w:val="left"/>
              <w:rPr>
                <w:color w:val="auto"/>
                <w:highlight w:val="magenta"/>
              </w:rPr>
            </w:pPr>
            <w:r w:rsidRPr="2DB5E468" w:rsidR="733F7904">
              <w:rPr>
                <w:color w:val="auto"/>
                <w:highlight w:val="magenta"/>
              </w:rPr>
              <w:t>Moderate Risk</w:t>
            </w:r>
            <w:r w:rsidRPr="2DB5E468" w:rsidR="3CD9747A">
              <w:rPr>
                <w:color w:val="auto"/>
                <w:highlight w:val="magenta"/>
              </w:rPr>
              <w:t xml:space="preserve">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2DB5E468"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BCCE0FB"/>
    <w:rsid w:val="0C018C33"/>
    <w:rsid w:val="0E0C14A7"/>
    <w:rsid w:val="0E81AF3C"/>
    <w:rsid w:val="0FDCCF47"/>
    <w:rsid w:val="1056E3DD"/>
    <w:rsid w:val="10660264"/>
    <w:rsid w:val="11827361"/>
    <w:rsid w:val="11BD7E57"/>
    <w:rsid w:val="123AB314"/>
    <w:rsid w:val="13E30883"/>
    <w:rsid w:val="17BDE29F"/>
    <w:rsid w:val="1822AD5F"/>
    <w:rsid w:val="189FD2F1"/>
    <w:rsid w:val="19291656"/>
    <w:rsid w:val="1934A2D2"/>
    <w:rsid w:val="1AAD3D99"/>
    <w:rsid w:val="1B2AE7D3"/>
    <w:rsid w:val="1D2BB735"/>
    <w:rsid w:val="1D7E4701"/>
    <w:rsid w:val="1D8F6EB0"/>
    <w:rsid w:val="1DF8DADD"/>
    <w:rsid w:val="1E501E25"/>
    <w:rsid w:val="1E7C7205"/>
    <w:rsid w:val="1F7EBDF9"/>
    <w:rsid w:val="201032AC"/>
    <w:rsid w:val="20589048"/>
    <w:rsid w:val="21314046"/>
    <w:rsid w:val="2142836A"/>
    <w:rsid w:val="21F9F9D6"/>
    <w:rsid w:val="22B79540"/>
    <w:rsid w:val="23E5F4AC"/>
    <w:rsid w:val="2A29E370"/>
    <w:rsid w:val="2A33016F"/>
    <w:rsid w:val="2AEE8483"/>
    <w:rsid w:val="2B1394B1"/>
    <w:rsid w:val="2BE641C1"/>
    <w:rsid w:val="2D0497FB"/>
    <w:rsid w:val="2D868906"/>
    <w:rsid w:val="2DB5E468"/>
    <w:rsid w:val="2E6DF749"/>
    <w:rsid w:val="2EC461E4"/>
    <w:rsid w:val="30147CC0"/>
    <w:rsid w:val="315DC607"/>
    <w:rsid w:val="3373B938"/>
    <w:rsid w:val="338FE581"/>
    <w:rsid w:val="33C3C576"/>
    <w:rsid w:val="3401C52F"/>
    <w:rsid w:val="34553A29"/>
    <w:rsid w:val="3521415B"/>
    <w:rsid w:val="367973D9"/>
    <w:rsid w:val="39396210"/>
    <w:rsid w:val="3A5C9ADF"/>
    <w:rsid w:val="3A9F874B"/>
    <w:rsid w:val="3B2CF306"/>
    <w:rsid w:val="3CD9747A"/>
    <w:rsid w:val="3E7D9552"/>
    <w:rsid w:val="3F41B54F"/>
    <w:rsid w:val="3F4B3D57"/>
    <w:rsid w:val="4113AC5B"/>
    <w:rsid w:val="43986832"/>
    <w:rsid w:val="44C52166"/>
    <w:rsid w:val="44E688EA"/>
    <w:rsid w:val="4562AD18"/>
    <w:rsid w:val="47289EB8"/>
    <w:rsid w:val="4737531C"/>
    <w:rsid w:val="478DA501"/>
    <w:rsid w:val="47BA136B"/>
    <w:rsid w:val="48E2D619"/>
    <w:rsid w:val="49297562"/>
    <w:rsid w:val="4985D41C"/>
    <w:rsid w:val="4B75062B"/>
    <w:rsid w:val="4C47EDC7"/>
    <w:rsid w:val="4D27FBC9"/>
    <w:rsid w:val="4D4F1855"/>
    <w:rsid w:val="4DE3BE28"/>
    <w:rsid w:val="50EDF2A5"/>
    <w:rsid w:val="514BF30F"/>
    <w:rsid w:val="514DFDA9"/>
    <w:rsid w:val="5286BF9D"/>
    <w:rsid w:val="53189925"/>
    <w:rsid w:val="538E922D"/>
    <w:rsid w:val="55F6CAEC"/>
    <w:rsid w:val="56CEF163"/>
    <w:rsid w:val="57928DF4"/>
    <w:rsid w:val="583C3AFC"/>
    <w:rsid w:val="58ECC44D"/>
    <w:rsid w:val="591535F8"/>
    <w:rsid w:val="5A78A3BB"/>
    <w:rsid w:val="5B4B50CB"/>
    <w:rsid w:val="5C4CD6BA"/>
    <w:rsid w:val="5C6508C2"/>
    <w:rsid w:val="5C65FF17"/>
    <w:rsid w:val="5CA9E4F2"/>
    <w:rsid w:val="5D1A26D8"/>
    <w:rsid w:val="5D26757E"/>
    <w:rsid w:val="5D85D9BA"/>
    <w:rsid w:val="5DE8A71B"/>
    <w:rsid w:val="5DEA66DD"/>
    <w:rsid w:val="5E8F04A6"/>
    <w:rsid w:val="5F84777C"/>
    <w:rsid w:val="5F9D9FD9"/>
    <w:rsid w:val="6042D5FD"/>
    <w:rsid w:val="60CEBCE2"/>
    <w:rsid w:val="60EE7104"/>
    <w:rsid w:val="612047DD"/>
    <w:rsid w:val="6451932C"/>
    <w:rsid w:val="647110FC"/>
    <w:rsid w:val="6700A450"/>
    <w:rsid w:val="687D4E87"/>
    <w:rsid w:val="69CF4331"/>
    <w:rsid w:val="69EA9000"/>
    <w:rsid w:val="6A7C60B2"/>
    <w:rsid w:val="6B015C09"/>
    <w:rsid w:val="6B5EB92B"/>
    <w:rsid w:val="6B7D3677"/>
    <w:rsid w:val="6BACF680"/>
    <w:rsid w:val="6FA0E040"/>
    <w:rsid w:val="6FA288CC"/>
    <w:rsid w:val="6FD823F5"/>
    <w:rsid w:val="72056201"/>
    <w:rsid w:val="733F7904"/>
    <w:rsid w:val="7455E4B4"/>
    <w:rsid w:val="7517C347"/>
    <w:rsid w:val="75C2BB34"/>
    <w:rsid w:val="76AB18A3"/>
    <w:rsid w:val="76BB7758"/>
    <w:rsid w:val="78EB77CA"/>
    <w:rsid w:val="7B1B0CDC"/>
    <w:rsid w:val="7B8A7197"/>
    <w:rsid w:val="7C5EC06B"/>
    <w:rsid w:val="7C67EFC7"/>
    <w:rsid w:val="7C871D34"/>
    <w:rsid w:val="7D022DE9"/>
    <w:rsid w:val="7DCEE49D"/>
    <w:rsid w:val="7DD62052"/>
    <w:rsid w:val="7E2CC14E"/>
    <w:rsid w:val="7EE25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9</revision>
  <lastPrinted>2016-10-10T11:09:00.0000000Z</lastPrinted>
  <dcterms:created xsi:type="dcterms:W3CDTF">2021-04-01T20:14:00.0000000Z</dcterms:created>
  <dcterms:modified xsi:type="dcterms:W3CDTF">2023-06-21T23:32:53.3030300Z</dcterms:modified>
</coreProperties>
</file>