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ba-thesis-concept-merged-enhanced"/>
    <w:p>
      <w:pPr>
        <w:pStyle w:val="Heading1"/>
      </w:pPr>
      <w:r>
        <w:t xml:space="preserve">BA Thesis Concept — Merged &amp; Enhanced</w:t>
      </w:r>
    </w:p>
    <w:p>
      <w:pPr>
        <w:pStyle w:val="FirstParagraph"/>
      </w:pPr>
      <w:r>
        <w:rPr>
          <w:bCs/>
          <w:b/>
        </w:rPr>
        <w:t xml:space="preserve">Gianluca Kühne | Matrikel-Nr. 21-472-519</w:t>
      </w:r>
      <w:r>
        <w:br/>
      </w:r>
      <w:r>
        <w:rPr>
          <w:bCs/>
          <w:b/>
        </w:rPr>
        <w:t xml:space="preserve">Hochschule für Soziale Arbeit FHNW | April 2026</w:t>
      </w:r>
    </w:p>
    <w:p>
      <w:r>
        <w:pict>
          <v:rect style="width:0;height:1.5pt" o:hralign="center" o:hrstd="t" o:hr="t"/>
        </w:pict>
      </w:r>
    </w:p>
    <w:bookmarkStart w:id="23" w:name="X4091eea60aab5afc18b21849b0b3f0fc7842291"/>
    <w:p>
      <w:pPr>
        <w:pStyle w:val="Heading2"/>
      </w:pPr>
      <w:r>
        <w:t xml:space="preserve">1. Ausgangslage: Das zentrale Paradoxon der ISA</w:t>
      </w:r>
    </w:p>
    <w:bookmarkStart w:id="20" w:name="X295c4b9703d395cf7c0387b3d52a9b975eaa71e"/>
    <w:p>
      <w:pPr>
        <w:pStyle w:val="Heading3"/>
      </w:pPr>
      <w:r>
        <w:t xml:space="preserve">1.1 Der Kontext: Internationale Soziale Arbeit und globale Standards</w:t>
      </w:r>
    </w:p>
    <w:p>
      <w:pPr>
        <w:pStyle w:val="FirstParagraph"/>
      </w:pPr>
      <w:r>
        <w:t xml:space="preserve">Die internationale Soziale Arbeit (ISA) präsentiert sich als professionelle Bewegung mit globaler Kohärenz. Durch Dokumente der International Federation of Social Workers (IFSW) und der International Association of Schools of Social Work (IASSW) werden ethische Prinzipien und professionelle Standards formuliert, die international Gültigkeit beanspruchen.</w:t>
      </w:r>
    </w:p>
    <w:p>
      <w:pPr>
        <w:pStyle w:val="BodyText"/>
      </w:pPr>
      <w:r>
        <w:t xml:space="preserve">Im Bildungsbereich ist diese Prägung besonders wirkmächtig: IFSW/IASSW-Standards setzen weltweit Maßstäbe für:</w:t>
      </w:r>
      <w:r>
        <w:t xml:space="preserve"> </w:t>
      </w:r>
      <w:r>
        <w:t xml:space="preserve">- Soziale Arbeit als Ausbildungsprofession</w:t>
      </w:r>
      <w:r>
        <w:t xml:space="preserve"> </w:t>
      </w:r>
      <w:r>
        <w:t xml:space="preserve">- Curricula und Lernziele</w:t>
      </w:r>
      <w:r>
        <w:t xml:space="preserve"> </w:t>
      </w:r>
      <w:r>
        <w:t xml:space="preserve">- Professional competencies</w:t>
      </w:r>
      <w:r>
        <w:t xml:space="preserve"> </w:t>
      </w:r>
      <w:r>
        <w:t xml:space="preserve">- Ethische Prinzipien für die Praxis</w:t>
      </w:r>
    </w:p>
    <w:bookmarkEnd w:id="20"/>
    <w:bookmarkStart w:id="21" w:name="das-versprechen-universalität-pluralität"/>
    <w:p>
      <w:pPr>
        <w:pStyle w:val="Heading3"/>
      </w:pPr>
      <w:r>
        <w:t xml:space="preserve">1.2 Das Versprechen: Universalität + Pluralität</w:t>
      </w:r>
    </w:p>
    <w:p>
      <w:pPr>
        <w:pStyle w:val="FirstParagraph"/>
      </w:pPr>
      <w:r>
        <w:t xml:space="preserve">ISA verspricht etwas Logisch Unmögliches:</w:t>
      </w:r>
      <w:r>
        <w:t xml:space="preserve"> </w:t>
      </w:r>
      <w:r>
        <w:t xml:space="preserve">-</w:t>
      </w:r>
      <w:r>
        <w:t xml:space="preserve"> </w:t>
      </w:r>
      <w:r>
        <w:rPr>
          <w:bCs/>
          <w:b/>
        </w:rPr>
        <w:t xml:space="preserve">Universale ethische Prinzipien</w:t>
      </w:r>
      <w:r>
        <w:t xml:space="preserve">, die überall gelten</w:t>
      </w:r>
      <w:r>
        <w:t xml:space="preserve"> </w:t>
      </w:r>
      <w:r>
        <w:t xml:space="preserve">-</w:t>
      </w:r>
      <w:r>
        <w:t xml:space="preserve"> </w:t>
      </w:r>
      <w:r>
        <w:rPr>
          <w:bCs/>
          <w:b/>
        </w:rPr>
        <w:t xml:space="preserve">Respekt für lokale Unterschiede</w:t>
      </w:r>
      <w:r>
        <w:t xml:space="preserve">, die überall berücksichtigt werden</w:t>
      </w:r>
    </w:p>
    <w:p>
      <w:pPr>
        <w:pStyle w:val="BodyText"/>
      </w:pPr>
      <w:r>
        <w:t xml:space="preserve">Die Rhetorik ist konsistent:</w:t>
      </w:r>
      <w:r>
        <w:t xml:space="preserve"> </w:t>
      </w:r>
      <w:r>
        <w:t xml:space="preserve">“</w:t>
      </w:r>
      <w:r>
        <w:t xml:space="preserve">Universale Standards, lokal adaptiert</w:t>
      </w:r>
      <w:r>
        <w:t xml:space="preserve">”</w:t>
      </w:r>
      <w:r>
        <w:t xml:space="preserve"> </w:t>
      </w:r>
      <w:r>
        <w:t xml:space="preserve">/</w:t>
      </w:r>
      <w:r>
        <w:t xml:space="preserve"> </w:t>
      </w:r>
      <w:r>
        <w:t xml:space="preserve">“</w:t>
      </w:r>
      <w:r>
        <w:t xml:space="preserve">Globale Profession, lokale Kontexte</w:t>
      </w:r>
      <w:r>
        <w:t xml:space="preserve">”</w:t>
      </w:r>
      <w:r>
        <w:t xml:space="preserve"> </w:t>
      </w:r>
      <w:r>
        <w:t xml:space="preserve">/</w:t>
      </w:r>
      <w:r>
        <w:t xml:space="preserve"> </w:t>
      </w:r>
      <w:r>
        <w:t xml:space="preserve">“</w:t>
      </w:r>
      <w:r>
        <w:t xml:space="preserve">Professionelle Kohärenz in Vielfalt.</w:t>
      </w:r>
      <w:r>
        <w:t xml:space="preserve">”</w:t>
      </w:r>
    </w:p>
    <w:bookmarkEnd w:id="21"/>
    <w:bookmarkStart w:id="22" w:name="das-problem-die-zentrale-inkoherenz"/>
    <w:p>
      <w:pPr>
        <w:pStyle w:val="Heading3"/>
      </w:pPr>
      <w:r>
        <w:t xml:space="preserve">1.3 Das Problem: Die zentrale Inkoherenz</w:t>
      </w:r>
    </w:p>
    <w:p>
      <w:pPr>
        <w:pStyle w:val="FirstParagraph"/>
      </w:pPr>
      <w:r>
        <w:t xml:space="preserve">Diese These argumentiert:</w:t>
      </w:r>
      <w:r>
        <w:t xml:space="preserve"> </w:t>
      </w:r>
      <w:r>
        <w:rPr>
          <w:bCs/>
          <w:b/>
        </w:rPr>
        <w:t xml:space="preserve">Das Versprechen ist struktural unmöglich.</w:t>
      </w:r>
    </w:p>
    <w:p>
      <w:pPr>
        <w:pStyle w:val="BodyText"/>
      </w:pPr>
      <w:r>
        <w:t xml:space="preserve">Universalismus und echte Pluralität sind logisch unvereinbar:</w:t>
      </w:r>
      <w:r>
        <w:t xml:space="preserve"> </w:t>
      </w:r>
      <w:r>
        <w:t xml:space="preserve">- Wenn Standards universell sind, dann dominieren sie lokale Unterschiede (Hegemonie)</w:t>
      </w:r>
      <w:r>
        <w:t xml:space="preserve"> </w:t>
      </w:r>
      <w:r>
        <w:t xml:space="preserve">- Wenn lokale Unterschiede echt respektiert sind, dann sind Standards nicht universell (keine globale Kohärenz)</w:t>
      </w:r>
    </w:p>
    <w:p>
      <w:pPr>
        <w:pStyle w:val="BodyText"/>
      </w:pPr>
      <w:r>
        <w:t xml:space="preserve">ISA löst dieses Paradoxon nicht. Stattdessen wird es durch eine</w:t>
      </w:r>
      <w:r>
        <w:t xml:space="preserve"> </w:t>
      </w:r>
      <w:r>
        <w:rPr>
          <w:bCs/>
          <w:b/>
        </w:rPr>
        <w:t xml:space="preserve">Inkoherenz verwaltet</w:t>
      </w:r>
      <w:r>
        <w:t xml:space="preserve">: Die Sprache von Respekt, Diversität, Kontextsensibilität maskiert ein System der epistemischen Dominanz.</w:t>
      </w:r>
    </w:p>
    <w:p>
      <w:pPr>
        <w:pStyle w:val="BodyText"/>
      </w:pPr>
      <w:r>
        <w:rPr>
          <w:bCs/>
          <w:b/>
        </w:rPr>
        <w:t xml:space="preserve">Die zentrale These:</w:t>
      </w:r>
      <w:r>
        <w:t xml:space="preserve"> </w:t>
      </w:r>
      <w:r>
        <w:t xml:space="preserve">Die Inkoherenz ist nicht das Problem — sie ist der</w:t>
      </w:r>
      <w:r>
        <w:t xml:space="preserve"> </w:t>
      </w:r>
      <w:r>
        <w:rPr>
          <w:bCs/>
          <w:b/>
        </w:rPr>
        <w:t xml:space="preserve">Mechanismus, durch den Hegemonie unsichtbar bleibt.</w:t>
      </w:r>
    </w:p>
    <w:p>
      <w:r>
        <w:pict>
          <v:rect style="width:0;height:1.5pt" o:hralign="center" o:hrstd="t" o:hr="t"/>
        </w:pict>
      </w:r>
    </w:p>
    <w:bookmarkEnd w:id="22"/>
    <w:bookmarkEnd w:id="23"/>
    <w:bookmarkStart w:id="27" w:name="X073cf1b8971614a157a55b228ba2c7988a3336b"/>
    <w:p>
      <w:pPr>
        <w:pStyle w:val="Heading2"/>
      </w:pPr>
      <w:r>
        <w:t xml:space="preserve">2. Fragestellung: Die argumentative Stufenfolge</w:t>
      </w:r>
    </w:p>
    <w:p>
      <w:pPr>
        <w:pStyle w:val="FirstParagraph"/>
      </w:pPr>
      <w:r>
        <w:t xml:space="preserve">Drei Forschungsfragen bilden eine Stufenfolge, die das Paradoxon schrittweise entfaltet:</w:t>
      </w:r>
    </w:p>
    <w:bookmarkStart w:id="24" w:name="X68a35dfdcc08f8e2f110776ba93b616d53f19bb"/>
    <w:p>
      <w:pPr>
        <w:pStyle w:val="Heading3"/>
      </w:pPr>
      <w:r>
        <w:t xml:space="preserve">FF1: Was wird behauptet? (Performative Ebene)</w:t>
      </w:r>
    </w:p>
    <w:p>
      <w:pPr>
        <w:pStyle w:val="FirstParagraph"/>
      </w:pPr>
      <w:r>
        <w:rPr>
          <w:bCs/>
          <w:b/>
        </w:rPr>
        <w:t xml:space="preserve">Welche normativen Richtlinien formulieren die IFSW/IASSW-Dokumente (2004; 2018) für den globalen Bildungsbereich — und welche Annahmen (Universalität, Spezifität, Epistemologien) sind darin eingebettet?</w:t>
      </w:r>
    </w:p>
    <w:p>
      <w:pPr>
        <w:pStyle w:val="BodyText"/>
      </w:pPr>
      <w:r>
        <w:t xml:space="preserve">Diese Frage richtet den Blick auf die</w:t>
      </w:r>
      <w:r>
        <w:t xml:space="preserve"> </w:t>
      </w:r>
      <w:r>
        <w:rPr>
          <w:bCs/>
          <w:b/>
        </w:rPr>
        <w:t xml:space="preserve">Performance</w:t>
      </w:r>
      <w:r>
        <w:t xml:space="preserve">: Was wird als universal präsentiert? Was als plural? Wo wird Universalismus behauptet, während spezifische Wissensansprüche vorliegen?</w:t>
      </w:r>
    </w:p>
    <w:bookmarkEnd w:id="24"/>
    <w:bookmarkStart w:id="25" w:name="X4c307a88864acb7a61d58496249cdf5d272f38e"/>
    <w:p>
      <w:pPr>
        <w:pStyle w:val="Heading3"/>
      </w:pPr>
      <w:r>
        <w:t xml:space="preserve">FF2: Wie wird es umgesetzt? (Enactment-Ebene)</w:t>
      </w:r>
    </w:p>
    <w:p>
      <w:pPr>
        <w:pStyle w:val="FirstParagraph"/>
      </w:pPr>
      <w:r>
        <w:rPr>
          <w:bCs/>
          <w:b/>
        </w:rPr>
        <w:t xml:space="preserve">Wie manifestiert sich das Paradoxon zwischen universal formulierten Standards und lokalen Kontexten in den Bildungssystemen von Neuseeland, der Schweiz und China?</w:t>
      </w:r>
    </w:p>
    <w:p>
      <w:pPr>
        <w:pStyle w:val="BodyText"/>
      </w:pPr>
      <w:r>
        <w:t xml:space="preserve">Diese Frage untersucht die</w:t>
      </w:r>
      <w:r>
        <w:t xml:space="preserve"> </w:t>
      </w:r>
      <w:r>
        <w:rPr>
          <w:bCs/>
          <w:b/>
        </w:rPr>
        <w:t xml:space="preserve">Enactment-Seite</w:t>
      </w:r>
      <w:r>
        <w:t xml:space="preserve">: Wie wird die Inkoherenz in unterschiedlichen Kontexten realisiert? Wie variieren die Mechanismen der Hegemonie je nach lokalen Bedingungen?</w:t>
      </w:r>
    </w:p>
    <w:p>
      <w:pPr>
        <w:numPr>
          <w:ilvl w:val="0"/>
          <w:numId w:val="1001"/>
        </w:numPr>
        <w:pStyle w:val="Compact"/>
      </w:pPr>
      <w:r>
        <w:rPr>
          <w:bCs/>
          <w:b/>
        </w:rPr>
        <w:t xml:space="preserve">Neuseeland:</w:t>
      </w:r>
      <w:r>
        <w:t xml:space="preserve"> </w:t>
      </w:r>
      <w:r>
        <w:t xml:space="preserve">Wird die Inkoherenz durch Multikulturalismus maskiert?</w:t>
      </w:r>
    </w:p>
    <w:p>
      <w:pPr>
        <w:numPr>
          <w:ilvl w:val="0"/>
          <w:numId w:val="1001"/>
        </w:numPr>
        <w:pStyle w:val="Compact"/>
      </w:pPr>
      <w:r>
        <w:rPr>
          <w:bCs/>
          <w:b/>
        </w:rPr>
        <w:t xml:space="preserve">Schweiz:</w:t>
      </w:r>
      <w:r>
        <w:t xml:space="preserve"> </w:t>
      </w:r>
      <w:r>
        <w:t xml:space="preserve">Verschwindet sie durch nahtlosen Alignment?</w:t>
      </w:r>
    </w:p>
    <w:p>
      <w:pPr>
        <w:numPr>
          <w:ilvl w:val="0"/>
          <w:numId w:val="1001"/>
        </w:numPr>
        <w:pStyle w:val="Compact"/>
      </w:pPr>
      <w:r>
        <w:rPr>
          <w:bCs/>
          <w:b/>
        </w:rPr>
        <w:t xml:space="preserve">China:</w:t>
      </w:r>
      <w:r>
        <w:t xml:space="preserve"> </w:t>
      </w:r>
      <w:r>
        <w:t xml:space="preserve">Wird sie explizit sichtbar als Widerspruch?</w:t>
      </w:r>
    </w:p>
    <w:bookmarkEnd w:id="25"/>
    <w:bookmarkStart w:id="26" w:name="ff3-was-bedeutet-das-normative-ebene"/>
    <w:p>
      <w:pPr>
        <w:pStyle w:val="Heading3"/>
      </w:pPr>
      <w:r>
        <w:t xml:space="preserve">FF3: Was bedeutet das? (Normative Ebene)</w:t>
      </w:r>
    </w:p>
    <w:p>
      <w:pPr>
        <w:pStyle w:val="FirstParagraph"/>
      </w:pPr>
      <w:r>
        <w:rPr>
          <w:bCs/>
          <w:b/>
        </w:rPr>
        <w:t xml:space="preserve">Welche Konsequenzen entstehen für professionelle Kohärenz der internationalen Sozialen Arbeit, wenn diese Kohärenz durch hegemoniale Universalisierung statt durch echte Pluralität erreicht wird?</w:t>
      </w:r>
    </w:p>
    <w:p>
      <w:pPr>
        <w:pStyle w:val="BodyText"/>
      </w:pPr>
      <w:r>
        <w:t xml:space="preserve">Diese Frage zielt auf die</w:t>
      </w:r>
      <w:r>
        <w:t xml:space="preserve"> </w:t>
      </w:r>
      <w:r>
        <w:rPr>
          <w:bCs/>
          <w:b/>
        </w:rPr>
        <w:t xml:space="preserve">normative Schlussfolgerung</w:t>
      </w:r>
      <w:r>
        <w:t xml:space="preserve">: Ist</w:t>
      </w:r>
      <w:r>
        <w:t xml:space="preserve"> </w:t>
      </w:r>
      <w:r>
        <w:t xml:space="preserve">“</w:t>
      </w:r>
      <w:r>
        <w:t xml:space="preserve">professionelle Kohärenz</w:t>
      </w:r>
      <w:r>
        <w:t xml:space="preserve">”</w:t>
      </w:r>
      <w:r>
        <w:t xml:space="preserve"> </w:t>
      </w:r>
      <w:r>
        <w:t xml:space="preserve">unter gegenwärtigen Bedingungen gleichbedeutend mit epistemischer Dominanz? Was würde eine nicht-hegemoniale Kohärenz erfordern?</w:t>
      </w:r>
    </w:p>
    <w:p>
      <w:r>
        <w:pict>
          <v:rect style="width:0;height:1.5pt" o:hralign="center" o:hrstd="t" o:hr="t"/>
        </w:pict>
      </w:r>
    </w:p>
    <w:bookmarkEnd w:id="26"/>
    <w:bookmarkEnd w:id="27"/>
    <w:bookmarkStart w:id="34" w:name="X2aa4ab0c82b3286c1eb89d40889cbf4f745b7b0"/>
    <w:p>
      <w:pPr>
        <w:pStyle w:val="Heading2"/>
      </w:pPr>
      <w:r>
        <w:t xml:space="preserve">3. Methodik und Aufbau: Fairclough’s CDA im theoretischen Rahmen</w:t>
      </w:r>
    </w:p>
    <w:bookmarkStart w:id="28" w:name="Xa5eb395579bd2997fc1f4ad253cb5c31cfb6961"/>
    <w:p>
      <w:pPr>
        <w:pStyle w:val="Heading3"/>
      </w:pPr>
      <w:r>
        <w:t xml:space="preserve">3.1 Primärmethode: Kritische Diskursanalyse nach Fairclough</w:t>
      </w:r>
    </w:p>
    <w:p>
      <w:pPr>
        <w:pStyle w:val="FirstParagraph"/>
      </w:pPr>
      <w:r>
        <w:t xml:space="preserve">Diese Thesis verwendet</w:t>
      </w:r>
      <w:r>
        <w:t xml:space="preserve"> </w:t>
      </w:r>
      <w:r>
        <w:rPr>
          <w:bCs/>
          <w:b/>
        </w:rPr>
        <w:t xml:space="preserve">Fairclough’s Kritische Diskursanalyse (CDA)</w:t>
      </w:r>
      <w:r>
        <w:t xml:space="preserve"> </w:t>
      </w:r>
      <w:r>
        <w:t xml:space="preserve">als etablierte, peer-reviewed Methode zur Analyse von Macht in Sprache und Diskursen.</w:t>
      </w:r>
    </w:p>
    <w:p>
      <w:pPr>
        <w:pStyle w:val="BodyText"/>
      </w:pPr>
      <w:r>
        <w:t xml:space="preserve">CDA operiert auf drei analytischen Ebenen:</w:t>
      </w:r>
      <w:r>
        <w:t xml:space="preserve"> </w:t>
      </w:r>
      <w:r>
        <w:t xml:space="preserve">1.</w:t>
      </w:r>
      <w:r>
        <w:t xml:space="preserve"> </w:t>
      </w:r>
      <w:r>
        <w:rPr>
          <w:bCs/>
          <w:b/>
        </w:rPr>
        <w:t xml:space="preserve">Textebene:</w:t>
      </w:r>
      <w:r>
        <w:t xml:space="preserve"> </w:t>
      </w:r>
      <w:r>
        <w:t xml:space="preserve">Linguistische Strukturen, Semantik, Absences</w:t>
      </w:r>
      <w:r>
        <w:t xml:space="preserve"> </w:t>
      </w:r>
      <w:r>
        <w:t xml:space="preserve">2.</w:t>
      </w:r>
      <w:r>
        <w:t xml:space="preserve"> </w:t>
      </w:r>
      <w:r>
        <w:rPr>
          <w:bCs/>
          <w:b/>
        </w:rPr>
        <w:t xml:space="preserve">Diskurspraktiken:</w:t>
      </w:r>
      <w:r>
        <w:t xml:space="preserve"> </w:t>
      </w:r>
      <w:r>
        <w:t xml:space="preserve">Produktion, Zirkulation, Institutionalisierung von Diskursen</w:t>
      </w:r>
      <w:r>
        <w:t xml:space="preserve"> </w:t>
      </w:r>
      <w:r>
        <w:t xml:space="preserve">3.</w:t>
      </w:r>
      <w:r>
        <w:t xml:space="preserve"> </w:t>
      </w:r>
      <w:r>
        <w:rPr>
          <w:bCs/>
          <w:b/>
        </w:rPr>
        <w:t xml:space="preserve">Gesellschaftliche Praktiken:</w:t>
      </w:r>
      <w:r>
        <w:t xml:space="preserve"> </w:t>
      </w:r>
      <w:r>
        <w:t xml:space="preserve">Wie Diskurse Institutionen, Macht und Hierarchien strukturieren</w:t>
      </w:r>
    </w:p>
    <w:bookmarkEnd w:id="28"/>
    <w:bookmarkStart w:id="29" w:name="X9c8ef91718cb75c14e17cbd93f9460af020de52"/>
    <w:p>
      <w:pPr>
        <w:pStyle w:val="Heading3"/>
      </w:pPr>
      <w:r>
        <w:t xml:space="preserve">3.2 Theoretische Erweiterungen: Die fünf Schichten</w:t>
      </w:r>
    </w:p>
    <w:p>
      <w:pPr>
        <w:pStyle w:val="FirstParagraph"/>
      </w:pPr>
      <w:r>
        <w:t xml:space="preserve">CDA wird durch fünf theoretische Perspektiven angereichert:</w:t>
      </w:r>
    </w:p>
    <w:tbl>
      <w:tblPr>
        <w:tblStyle w:val="Table"/>
        <w:tblW w:type="pct" w:w="5000"/>
        <w:tblLook w:firstRow="1" w:lastRow="0" w:firstColumn="0" w:lastColumn="0" w:noHBand="0" w:noVBand="0" w:val="0020"/>
        <w:jc w:val="start"/>
      </w:tblPr>
      <w:tblGrid>
        <w:gridCol w:w="2262"/>
        <w:gridCol w:w="4073"/>
        <w:gridCol w:w="1584"/>
      </w:tblGrid>
      <w:tr>
        <w:trPr>
          <w:tblHeader w:val="true"/>
        </w:trPr>
        <w:tc>
          <w:tcPr/>
          <w:p>
            <w:pPr>
              <w:pStyle w:val="Compact"/>
              <w:jc w:val="left"/>
            </w:pPr>
            <w:r>
              <w:t xml:space="preserve">Theorist</w:t>
            </w:r>
          </w:p>
        </w:tc>
        <w:tc>
          <w:tcPr/>
          <w:p>
            <w:pPr>
              <w:pStyle w:val="Compact"/>
              <w:jc w:val="left"/>
            </w:pPr>
            <w:r>
              <w:t xml:space="preserve">Analytische Ebene</w:t>
            </w:r>
          </w:p>
        </w:tc>
        <w:tc>
          <w:tcPr/>
          <w:p>
            <w:pPr>
              <w:pStyle w:val="Compact"/>
              <w:jc w:val="left"/>
            </w:pPr>
            <w:r>
              <w:t xml:space="preserve">Frage</w:t>
            </w:r>
          </w:p>
        </w:tc>
      </w:tr>
      <w:tr>
        <w:tc>
          <w:tcPr/>
          <w:p>
            <w:pPr>
              <w:pStyle w:val="Compact"/>
              <w:jc w:val="left"/>
            </w:pPr>
            <w:r>
              <w:rPr>
                <w:bCs/>
                <w:b/>
              </w:rPr>
              <w:t xml:space="preserve">Gramsci</w:t>
            </w:r>
          </w:p>
        </w:tc>
        <w:tc>
          <w:tcPr/>
          <w:p>
            <w:pPr>
              <w:pStyle w:val="Compact"/>
              <w:jc w:val="left"/>
            </w:pPr>
            <w:r>
              <w:t xml:space="preserve">Naturalisierung</w:t>
            </w:r>
          </w:p>
        </w:tc>
        <w:tc>
          <w:tcPr/>
          <w:p>
            <w:pPr>
              <w:pStyle w:val="Compact"/>
              <w:jc w:val="left"/>
            </w:pPr>
            <w:r>
              <w:t xml:space="preserve">Wie werden Standards naturalisiert als</w:t>
            </w:r>
            <w:r>
              <w:t xml:space="preserve"> </w:t>
            </w:r>
            <w:r>
              <w:t xml:space="preserve">“</w:t>
            </w:r>
            <w:r>
              <w:t xml:space="preserve">common sense</w:t>
            </w:r>
            <w:r>
              <w:t xml:space="preserve">”</w:t>
            </w:r>
            <w:r>
              <w:t xml:space="preserve">?</w:t>
            </w:r>
          </w:p>
        </w:tc>
      </w:tr>
      <w:tr>
        <w:tc>
          <w:tcPr/>
          <w:p>
            <w:pPr>
              <w:pStyle w:val="Compact"/>
              <w:jc w:val="left"/>
            </w:pPr>
            <w:r>
              <w:rPr>
                <w:bCs/>
                <w:b/>
              </w:rPr>
              <w:t xml:space="preserve">Fricker</w:t>
            </w:r>
          </w:p>
        </w:tc>
        <w:tc>
          <w:tcPr/>
          <w:p>
            <w:pPr>
              <w:pStyle w:val="Compact"/>
              <w:jc w:val="left"/>
            </w:pPr>
            <w:r>
              <w:t xml:space="preserve">Epistemische Gerechtigkeit</w:t>
            </w:r>
          </w:p>
        </w:tc>
        <w:tc>
          <w:tcPr/>
          <w:p>
            <w:pPr>
              <w:pStyle w:val="Compact"/>
              <w:jc w:val="left"/>
            </w:pPr>
            <w:r>
              <w:t xml:space="preserve">Wessen Wissen wird als glaubwürdig/grundlegend positioniert?</w:t>
            </w:r>
          </w:p>
        </w:tc>
      </w:tr>
      <w:tr>
        <w:tc>
          <w:tcPr/>
          <w:p>
            <w:pPr>
              <w:pStyle w:val="Compact"/>
              <w:jc w:val="left"/>
            </w:pPr>
            <w:r>
              <w:rPr>
                <w:bCs/>
                <w:b/>
              </w:rPr>
              <w:t xml:space="preserve">Mignolo</w:t>
            </w:r>
          </w:p>
        </w:tc>
        <w:tc>
          <w:tcPr/>
          <w:p>
            <w:pPr>
              <w:pStyle w:val="Compact"/>
              <w:jc w:val="left"/>
            </w:pPr>
            <w:r>
              <w:t xml:space="preserve">Kolonialiät</w:t>
            </w:r>
          </w:p>
        </w:tc>
        <w:tc>
          <w:tcPr/>
          <w:p>
            <w:pPr>
              <w:pStyle w:val="Compact"/>
              <w:jc w:val="left"/>
            </w:pPr>
            <w:r>
              <w:t xml:space="preserve">Wie wird westliches Wissen universalisiert und nicht-westliches marginalisiert?</w:t>
            </w:r>
          </w:p>
        </w:tc>
      </w:tr>
      <w:tr>
        <w:tc>
          <w:tcPr/>
          <w:p>
            <w:pPr>
              <w:pStyle w:val="Compact"/>
              <w:jc w:val="left"/>
            </w:pPr>
            <w:r>
              <w:rPr>
                <w:bCs/>
                <w:b/>
              </w:rPr>
              <w:t xml:space="preserve">Foucault</w:t>
            </w:r>
            <w:r>
              <w:t xml:space="preserve"> </w:t>
            </w:r>
            <w:r>
              <w:t xml:space="preserve">(genealogisch)</w:t>
            </w:r>
          </w:p>
        </w:tc>
        <w:tc>
          <w:tcPr/>
          <w:p>
            <w:pPr>
              <w:pStyle w:val="Compact"/>
              <w:jc w:val="left"/>
            </w:pPr>
            <w:r>
              <w:t xml:space="preserve">Historische Konstruktion</w:t>
            </w:r>
          </w:p>
        </w:tc>
        <w:tc>
          <w:tcPr/>
          <w:p>
            <w:pPr>
              <w:pStyle w:val="Compact"/>
              <w:jc w:val="left"/>
            </w:pPr>
            <w:r>
              <w:t xml:space="preserve">Wie wurde</w:t>
            </w:r>
            <w:r>
              <w:t xml:space="preserve"> </w:t>
            </w:r>
            <w:r>
              <w:t xml:space="preserve">“</w:t>
            </w:r>
            <w:r>
              <w:t xml:space="preserve">professionell</w:t>
            </w:r>
            <w:r>
              <w:t xml:space="preserve">”</w:t>
            </w:r>
            <w:r>
              <w:t xml:space="preserve"> </w:t>
            </w:r>
            <w:r>
              <w:t xml:space="preserve">konstruiert und naturalisiert?</w:t>
            </w:r>
          </w:p>
        </w:tc>
      </w:tr>
      <w:tr>
        <w:tc>
          <w:tcPr/>
          <w:p>
            <w:pPr>
              <w:pStyle w:val="Compact"/>
              <w:jc w:val="left"/>
            </w:pPr>
            <w:r>
              <w:rPr>
                <w:bCs/>
                <w:b/>
              </w:rPr>
              <w:t xml:space="preserve">Freire</w:t>
            </w:r>
          </w:p>
        </w:tc>
        <w:tc>
          <w:tcPr/>
          <w:p>
            <w:pPr>
              <w:pStyle w:val="Compact"/>
              <w:jc w:val="left"/>
            </w:pPr>
            <w:r>
              <w:t xml:space="preserve">Pädagogik</w:t>
            </w:r>
          </w:p>
        </w:tc>
        <w:tc>
          <w:tcPr/>
          <w:p>
            <w:pPr>
              <w:pStyle w:val="Compact"/>
              <w:jc w:val="left"/>
            </w:pPr>
            <w:r>
              <w:t xml:space="preserve">Reproduziert ISA-Ausbildung Unterdrückung oder ermöglicht Befreiung?</w:t>
            </w:r>
          </w:p>
        </w:tc>
      </w:tr>
    </w:tbl>
    <w:bookmarkEnd w:id="29"/>
    <w:bookmarkStart w:id="33" w:name="konkrete-analytische-protokolle"/>
    <w:p>
      <w:pPr>
        <w:pStyle w:val="Heading3"/>
      </w:pPr>
      <w:r>
        <w:t xml:space="preserve">3.3 Konkrete analytische Protokolle</w:t>
      </w:r>
    </w:p>
    <w:bookmarkStart w:id="30" w:name="ff1-dokumentenanalyse-ifswiassw-texte"/>
    <w:p>
      <w:pPr>
        <w:pStyle w:val="Heading4"/>
      </w:pPr>
      <w:r>
        <w:t xml:space="preserve">FF1 — Dokumentenanalyse (IFSW/IASSW-Texte)</w:t>
      </w:r>
    </w:p>
    <w:p>
      <w:pPr>
        <w:pStyle w:val="FirstParagraph"/>
      </w:pPr>
      <w:r>
        <w:rPr>
          <w:bCs/>
          <w:b/>
        </w:rPr>
        <w:t xml:space="preserve">Material:</w:t>
      </w:r>
      <w:r>
        <w:t xml:space="preserve"> </w:t>
      </w:r>
      <w:r>
        <w:t xml:space="preserve">IFSW Ethics in Social Work (2004), IFSW Global Social Work Statement (2018), IASSW-Stellungnahmen zu Education</w:t>
      </w:r>
    </w:p>
    <w:p>
      <w:pPr>
        <w:pStyle w:val="BodyText"/>
      </w:pPr>
      <w:r>
        <w:rPr>
          <w:bCs/>
          <w:b/>
        </w:rPr>
        <w:t xml:space="preserve">Analytische Schritte:</w:t>
      </w:r>
      <w:r>
        <w:t xml:space="preserve"> </w:t>
      </w:r>
      <w:r>
        <w:t xml:space="preserve">1. Explizite Aussagen zu Bildung extrahieren</w:t>
      </w:r>
      <w:r>
        <w:t xml:space="preserve"> </w:t>
      </w:r>
      <w:r>
        <w:t xml:space="preserve">2. Semantische Kodierung: Universalistische (rot) vs. pluralistische (blau) Sprachbewegungen</w:t>
      </w:r>
      <w:r>
        <w:t xml:space="preserve"> </w:t>
      </w:r>
      <w:r>
        <w:t xml:space="preserve">3. Absences-Analyse: Was wird NICHT gesagt?</w:t>
      </w:r>
      <w:r>
        <w:t xml:space="preserve"> </w:t>
      </w:r>
      <w:r>
        <w:t xml:space="preserve">4. Power-Analyse: Zitation, Sprachen, Autorenschaft</w:t>
      </w:r>
    </w:p>
    <w:p>
      <w:pPr>
        <w:pStyle w:val="BodyText"/>
      </w:pPr>
      <w:r>
        <w:rPr>
          <w:bCs/>
          <w:b/>
        </w:rPr>
        <w:t xml:space="preserve">Output:</w:t>
      </w:r>
      <w:r>
        <w:t xml:space="preserve"> </w:t>
      </w:r>
      <w:r>
        <w:t xml:space="preserve">Detaillierte Dokumentation, wie IFSW-Standards universal performieren, während sie spezifisch enacten.</w:t>
      </w:r>
    </w:p>
    <w:bookmarkEnd w:id="30"/>
    <w:bookmarkStart w:id="31" w:name="Xf5eddc93fe5b157727adbe76da7b00e5eb265c8"/>
    <w:p>
      <w:pPr>
        <w:pStyle w:val="Heading4"/>
      </w:pPr>
      <w:r>
        <w:t xml:space="preserve">FF2 — Vergleichende Strukturanalyse (NZ, Schweiz, China)</w:t>
      </w:r>
    </w:p>
    <w:p>
      <w:pPr>
        <w:pStyle w:val="FirstParagraph"/>
      </w:pPr>
      <w:r>
        <w:rPr>
          <w:bCs/>
          <w:b/>
        </w:rPr>
        <w:t xml:space="preserve">Material pro Land:</w:t>
      </w:r>
      <w:r>
        <w:t xml:space="preserve"> </w:t>
      </w:r>
      <w:r>
        <w:t xml:space="preserve">- Government policies on social work education</w:t>
      </w:r>
      <w:r>
        <w:t xml:space="preserve"> </w:t>
      </w:r>
      <w:r>
        <w:t xml:space="preserve">- University curriculum documents (3+ programmes)</w:t>
      </w:r>
      <w:r>
        <w:t xml:space="preserve"> </w:t>
      </w:r>
      <w:r>
        <w:t xml:space="preserve">- Professional association standards</w:t>
      </w:r>
      <w:r>
        <w:t xml:space="preserve"> </w:t>
      </w:r>
      <w:r>
        <w:t xml:space="preserve">- Interview data (wenn möglich)</w:t>
      </w:r>
    </w:p>
    <w:p>
      <w:pPr>
        <w:pStyle w:val="BodyText"/>
      </w:pPr>
      <w:r>
        <w:rPr>
          <w:bCs/>
          <w:b/>
        </w:rPr>
        <w:t xml:space="preserve">Analytische Schritte:</w:t>
      </w:r>
      <w:r>
        <w:t xml:space="preserve"> </w:t>
      </w:r>
      <w:r>
        <w:t xml:space="preserve">1. Performance-Mapping: Was wird behauptet?</w:t>
      </w:r>
      <w:r>
        <w:t xml:space="preserve"> </w:t>
      </w:r>
      <w:r>
        <w:t xml:space="preserve">2. Enactment-Mapping: Was wird struktural durchgesetzt?</w:t>
      </w:r>
      <w:r>
        <w:t xml:space="preserve"> </w:t>
      </w:r>
      <w:r>
        <w:t xml:space="preserve">3. Gap-Analyse: Wo divergieren sie? Was offenbaren die Lücken?</w:t>
      </w:r>
      <w:r>
        <w:t xml:space="preserve"> </w:t>
      </w:r>
      <w:r>
        <w:t xml:space="preserve">4. Hegemonie-Analyse: Wie ist die Inkoherenz kontextspezifisch strukturiert?</w:t>
      </w:r>
    </w:p>
    <w:bookmarkEnd w:id="31"/>
    <w:bookmarkStart w:id="32" w:name="X746158a976dd047d71fea00697b9656af7bd80d"/>
    <w:p>
      <w:pPr>
        <w:pStyle w:val="Heading4"/>
      </w:pPr>
      <w:r>
        <w:t xml:space="preserve">FF3 — Hegemoniale Kohärenz-Analyse (Spannungsfelder)</w:t>
      </w:r>
    </w:p>
    <w:p>
      <w:pPr>
        <w:pStyle w:val="FirstParagraph"/>
      </w:pPr>
      <w:r>
        <w:t xml:space="preserve">Für jedes Spannungsfeld eine 3-teilige Analyse:</w:t>
      </w:r>
      <w:r>
        <w:t xml:space="preserve"> </w:t>
      </w:r>
      <w:r>
        <w:t xml:space="preserve">-</w:t>
      </w:r>
      <w:r>
        <w:t xml:space="preserve"> </w:t>
      </w:r>
      <w:r>
        <w:rPr>
          <w:bCs/>
          <w:b/>
        </w:rPr>
        <w:t xml:space="preserve">Part A (Gramsci):</w:t>
      </w:r>
      <w:r>
        <w:t xml:space="preserve"> </w:t>
      </w:r>
      <w:r>
        <w:t xml:space="preserve">Wie wird ein Pol naturalisiert?</w:t>
      </w:r>
      <w:r>
        <w:t xml:space="preserve"> </w:t>
      </w:r>
      <w:r>
        <w:t xml:space="preserve">-</w:t>
      </w:r>
      <w:r>
        <w:t xml:space="preserve"> </w:t>
      </w:r>
      <w:r>
        <w:rPr>
          <w:bCs/>
          <w:b/>
        </w:rPr>
        <w:t xml:space="preserve">Part B (Fricker):</w:t>
      </w:r>
      <w:r>
        <w:t xml:space="preserve"> </w:t>
      </w:r>
      <w:r>
        <w:t xml:space="preserve">Wessen Wissen ist epistemisch marginalisiert?</w:t>
      </w:r>
      <w:r>
        <w:t xml:space="preserve"> </w:t>
      </w:r>
      <w:r>
        <w:t xml:space="preserve">-</w:t>
      </w:r>
      <w:r>
        <w:t xml:space="preserve"> </w:t>
      </w:r>
      <w:r>
        <w:rPr>
          <w:bCs/>
          <w:b/>
        </w:rPr>
        <w:t xml:space="preserve">Part C (Mignolo):</w:t>
      </w:r>
      <w:r>
        <w:t xml:space="preserve"> </w:t>
      </w:r>
      <w:r>
        <w:t xml:space="preserve">Wie ist die Wissensh ierarchie kolonisiert?</w:t>
      </w:r>
    </w:p>
    <w:p>
      <w:r>
        <w:pict>
          <v:rect style="width:0;height:1.5pt" o:hralign="center" o:hrstd="t" o:hr="t"/>
        </w:pict>
      </w:r>
    </w:p>
    <w:bookmarkEnd w:id="32"/>
    <w:bookmarkEnd w:id="33"/>
    <w:bookmarkEnd w:id="34"/>
    <w:bookmarkStart w:id="38" w:name="Xc78543e4066458b13232e1202a48d4a704dd17e"/>
    <w:p>
      <w:pPr>
        <w:pStyle w:val="Heading2"/>
      </w:pPr>
      <w:r>
        <w:t xml:space="preserve">4. Theoretischer Rahmen: Postkoloniale, hegemoniekritische Perspektiven</w:t>
      </w:r>
    </w:p>
    <w:bookmarkStart w:id="35" w:name="Xbea9d6afaa2ceb0a1b23e9b4acff1066f405a3a"/>
    <w:p>
      <w:pPr>
        <w:pStyle w:val="Heading3"/>
      </w:pPr>
      <w:r>
        <w:t xml:space="preserve">4.1 Postkoloniale Perspektiven: Razack, Santos, Mignolo</w:t>
      </w:r>
    </w:p>
    <w:p>
      <w:pPr>
        <w:pStyle w:val="FirstParagraph"/>
      </w:pPr>
      <w:r>
        <w:t xml:space="preserve">Die These nutzt postkoloniale Theorie zur Analyse von ISA als hegemoniales Wissenssystem:</w:t>
      </w:r>
    </w:p>
    <w:p>
      <w:pPr>
        <w:pStyle w:val="BodyText"/>
      </w:pPr>
      <w:r>
        <w:rPr>
          <w:bCs/>
          <w:b/>
        </w:rPr>
        <w:t xml:space="preserve">Razack (Contested Terrain):</w:t>
      </w:r>
      <w:r>
        <w:t xml:space="preserve"> </w:t>
      </w:r>
      <w:r>
        <w:t xml:space="preserve">Zeigt, wie professionelle Standards in sozialer Arbeit koloniale Machtbeziehungen reproduzieren.</w:t>
      </w:r>
      <w:r>
        <w:t xml:space="preserve"> </w:t>
      </w:r>
      <w:r>
        <w:t xml:space="preserve">“</w:t>
      </w:r>
      <w:r>
        <w:t xml:space="preserve">Professionalisierung</w:t>
      </w:r>
      <w:r>
        <w:t xml:space="preserve">”</w:t>
      </w:r>
      <w:r>
        <w:t xml:space="preserve"> </w:t>
      </w:r>
      <w:r>
        <w:t xml:space="preserve">ist oft eine Form der Epistemisierung — die Unterordnung lokaler Wissenssysteme unter westliche Standards.</w:t>
      </w:r>
    </w:p>
    <w:p>
      <w:pPr>
        <w:pStyle w:val="BodyText"/>
      </w:pPr>
      <w:r>
        <w:rPr>
          <w:bCs/>
          <w:b/>
        </w:rPr>
        <w:t xml:space="preserve">Santos (Epistemologies of the South):</w:t>
      </w:r>
      <w:r>
        <w:t xml:space="preserve"> </w:t>
      </w:r>
      <w:r>
        <w:t xml:space="preserve">Argumentiert für ökologische Wissensformen, die jenseits westlicher Epistemologie arbeiten. Lokale und nicht-westliche Wissenssysteme sind nicht</w:t>
      </w:r>
      <w:r>
        <w:t xml:space="preserve"> </w:t>
      </w:r>
      <w:r>
        <w:t xml:space="preserve">“</w:t>
      </w:r>
      <w:r>
        <w:t xml:space="preserve">weniger entwickelt</w:t>
      </w:r>
      <w:r>
        <w:t xml:space="preserve">”</w:t>
      </w:r>
      <w:r>
        <w:t xml:space="preserve">, sondern anders strukturiert.</w:t>
      </w:r>
    </w:p>
    <w:p>
      <w:pPr>
        <w:pStyle w:val="BodyText"/>
      </w:pPr>
      <w:r>
        <w:rPr>
          <w:bCs/>
          <w:b/>
        </w:rPr>
        <w:t xml:space="preserve">Mignolo (Coloniality of Knowledge):</w:t>
      </w:r>
      <w:r>
        <w:t xml:space="preserve"> </w:t>
      </w:r>
      <w:r>
        <w:t xml:space="preserve">Die Kolonialiät der Macht überlebt durch die Kolonialiät der Epistemologie. Westliches Wissen wird universalisiert, nicht-westliches wird marginalisiert — nicht durch Gewalt, sondern durch institutionelle Strukturen.</w:t>
      </w:r>
    </w:p>
    <w:bookmarkEnd w:id="35"/>
    <w:bookmarkStart w:id="36" w:name="hegemonie-und-bildungsökonomie-gramsci"/>
    <w:p>
      <w:pPr>
        <w:pStyle w:val="Heading3"/>
      </w:pPr>
      <w:r>
        <w:t xml:space="preserve">4.2 Hegemonie und Bildungsökonomie: Gramsci</w:t>
      </w:r>
    </w:p>
    <w:p>
      <w:pPr>
        <w:pStyle w:val="FirstParagraph"/>
      </w:pPr>
      <w:r>
        <w:t xml:space="preserve">Gramscis Hegemoniekonzept zeigt: Dominanz funktioniert durch Naturalisierung, nicht durch Zwang. IFSW-Standards werden nicht als</w:t>
      </w:r>
      <w:r>
        <w:t xml:space="preserve"> </w:t>
      </w:r>
      <w:r>
        <w:t xml:space="preserve">“</w:t>
      </w:r>
      <w:r>
        <w:t xml:space="preserve">westliche Standards</w:t>
      </w:r>
      <w:r>
        <w:t xml:space="preserve">”</w:t>
      </w:r>
      <w:r>
        <w:t xml:space="preserve"> </w:t>
      </w:r>
      <w:r>
        <w:t xml:space="preserve">wahrgenommen, sondern als</w:t>
      </w:r>
      <w:r>
        <w:t xml:space="preserve"> </w:t>
      </w:r>
      <w:r>
        <w:t xml:space="preserve">“</w:t>
      </w:r>
      <w:r>
        <w:t xml:space="preserve">universale ethische Prinzipien</w:t>
      </w:r>
      <w:r>
        <w:t xml:space="preserve">”</w:t>
      </w:r>
      <w:r>
        <w:t xml:space="preserve"> </w:t>
      </w:r>
      <w:r>
        <w:t xml:space="preserve">— das ist Hegemonie.</w:t>
      </w:r>
    </w:p>
    <w:p>
      <w:pPr>
        <w:pStyle w:val="BodyText"/>
      </w:pPr>
      <w:r>
        <w:t xml:space="preserve">Im Bildungskontext ist dies besonders wirkmächtig: Wer Standards setzt, definiert, was</w:t>
      </w:r>
      <w:r>
        <w:t xml:space="preserve"> </w:t>
      </w:r>
      <w:r>
        <w:t xml:space="preserve">“</w:t>
      </w:r>
      <w:r>
        <w:t xml:space="preserve">professionell</w:t>
      </w:r>
      <w:r>
        <w:t xml:space="preserve">”</w:t>
      </w:r>
      <w:r>
        <w:t xml:space="preserve"> </w:t>
      </w:r>
      <w:r>
        <w:t xml:space="preserve">bedeutet. Das wird dann in Curricula institutionalisiert, von Studierenden internalisiert, von Praktizierenden enactet. Die Hegemonie wird unsichtbar.</w:t>
      </w:r>
    </w:p>
    <w:bookmarkEnd w:id="36"/>
    <w:bookmarkStart w:id="37" w:name="epistemische-gerechtigkeit-fricker"/>
    <w:p>
      <w:pPr>
        <w:pStyle w:val="Heading3"/>
      </w:pPr>
      <w:r>
        <w:t xml:space="preserve">4.3 Epistemische Gerechtigkeit: Fricker</w:t>
      </w:r>
    </w:p>
    <w:p>
      <w:pPr>
        <w:pStyle w:val="FirstParagraph"/>
      </w:pPr>
      <w:r>
        <w:t xml:space="preserve">Frickers Konzept der</w:t>
      </w:r>
      <w:r>
        <w:t xml:space="preserve"> </w:t>
      </w:r>
      <w:r>
        <w:rPr>
          <w:bCs/>
          <w:b/>
        </w:rPr>
        <w:t xml:space="preserve">testimonial injustice</w:t>
      </w:r>
      <w:r>
        <w:t xml:space="preserve"> </w:t>
      </w:r>
      <w:r>
        <w:t xml:space="preserve">zeigt: Nicht-westliche Sozialarbeiter erleben systematische Glaubwürdigkeitsdefizite. Ihr Wissen wird gehört (</w:t>
      </w:r>
      <w:r>
        <w:t xml:space="preserve">“</w:t>
      </w:r>
      <w:r>
        <w:t xml:space="preserve">wir respektieren lokale Kontexte</w:t>
      </w:r>
      <w:r>
        <w:t xml:space="preserve">”</w:t>
      </w:r>
      <w:r>
        <w:t xml:space="preserve">), aber nicht als Autorität geglaubt (</w:t>
      </w:r>
      <w:r>
        <w:t xml:space="preserve">“</w:t>
      </w:r>
      <w:r>
        <w:t xml:space="preserve">aber IFSW-Standards sind professionell</w:t>
      </w:r>
      <w:r>
        <w:t xml:space="preserve">”</w:t>
      </w:r>
      <w:r>
        <w:t xml:space="preserve">).</w:t>
      </w:r>
    </w:p>
    <w:p>
      <w:pPr>
        <w:pStyle w:val="BodyText"/>
      </w:pPr>
      <w:r>
        <w:t xml:space="preserve">Das ist nicht individueller Bias, sondern strukturale epistemische Ungerechtigkeit, eingebettet in Institutionen und Diskursen.</w:t>
      </w:r>
    </w:p>
    <w:p>
      <w:r>
        <w:pict>
          <v:rect style="width:0;height:1.5pt" o:hralign="center" o:hrstd="t" o:hr="t"/>
        </w:pict>
      </w:r>
    </w:p>
    <w:bookmarkEnd w:id="37"/>
    <w:bookmarkEnd w:id="38"/>
    <w:bookmarkStart w:id="43" w:name="Xf092aed330e6be685886ed2dcbac4664ce8c462"/>
    <w:p>
      <w:pPr>
        <w:pStyle w:val="Heading2"/>
      </w:pPr>
      <w:r>
        <w:t xml:space="preserve">5. Fallbeispiele: Akteure, Subjekte und Diskurse</w:t>
      </w:r>
    </w:p>
    <w:bookmarkStart w:id="39" w:name="Xa0d0e2ac84445ca8c18f607d498f558340f5b61"/>
    <w:p>
      <w:pPr>
        <w:pStyle w:val="Heading3"/>
      </w:pPr>
      <w:r>
        <w:t xml:space="preserve">5.1 Neuseeland: Symbolische Dekolonialisierung, epistemische Inkoherenz</w:t>
      </w:r>
    </w:p>
    <w:p>
      <w:pPr>
        <w:pStyle w:val="FirstParagraph"/>
      </w:pPr>
      <w:r>
        <w:rPr>
          <w:bCs/>
          <w:b/>
        </w:rPr>
        <w:t xml:space="preserve">Kontext:</w:t>
      </w:r>
      <w:r>
        <w:t xml:space="preserve"> </w:t>
      </w:r>
      <w:r>
        <w:t xml:space="preserve">Postkoloniale Gesellschaft mit Māori-Rechtsbewegung. Soziale Arbeit war historisch ein kolonialisierendes Projekt. Seit 2000er Jahren: Reformen zur Einbeziehung von Māori-Perspektiven.</w:t>
      </w:r>
    </w:p>
    <w:p>
      <w:pPr>
        <w:pStyle w:val="BodyText"/>
      </w:pPr>
      <w:r>
        <w:rPr>
          <w:bCs/>
          <w:b/>
        </w:rPr>
        <w:t xml:space="preserve">Performance:</w:t>
      </w:r>
      <w:r>
        <w:t xml:space="preserve"> </w:t>
      </w:r>
      <w:r>
        <w:t xml:space="preserve">“</w:t>
      </w:r>
      <w:r>
        <w:t xml:space="preserve">Māori-zentrierte Praxis</w:t>
      </w:r>
      <w:r>
        <w:t xml:space="preserve">”</w:t>
      </w:r>
      <w:r>
        <w:t xml:space="preserve">,</w:t>
      </w:r>
      <w:r>
        <w:t xml:space="preserve"> </w:t>
      </w:r>
      <w:r>
        <w:t xml:space="preserve">“</w:t>
      </w:r>
      <w:r>
        <w:t xml:space="preserve">Treaty of Waitangi alignment</w:t>
      </w:r>
      <w:r>
        <w:t xml:space="preserve">”</w:t>
      </w:r>
      <w:r>
        <w:t xml:space="preserve">,</w:t>
      </w:r>
      <w:r>
        <w:t xml:space="preserve"> </w:t>
      </w:r>
      <w:r>
        <w:t xml:space="preserve">“</w:t>
      </w:r>
      <w:r>
        <w:t xml:space="preserve">kulturelle Sensibilität</w:t>
      </w:r>
      <w:r>
        <w:t xml:space="preserve">”</w:t>
      </w:r>
    </w:p>
    <w:p>
      <w:pPr>
        <w:pStyle w:val="BodyText"/>
      </w:pPr>
      <w:r>
        <w:rPr>
          <w:bCs/>
          <w:b/>
        </w:rPr>
        <w:t xml:space="preserve">Enactment:</w:t>
      </w:r>
      <w:r>
        <w:t xml:space="preserve"> </w:t>
      </w:r>
      <w:r>
        <w:t xml:space="preserve">- Māori-Wissen ist in Curricula hinzugefügt (nicht grundlegend)</w:t>
      </w:r>
      <w:r>
        <w:t xml:space="preserve"> </w:t>
      </w:r>
      <w:r>
        <w:t xml:space="preserve">- IFSW-Standards bleiben der Rahmen</w:t>
      </w:r>
      <w:r>
        <w:t xml:space="preserve"> </w:t>
      </w:r>
      <w:r>
        <w:t xml:space="preserve">- Māori-Frameworks werden als</w:t>
      </w:r>
      <w:r>
        <w:t xml:space="preserve"> </w:t>
      </w:r>
      <w:r>
        <w:t xml:space="preserve">“</w:t>
      </w:r>
      <w:r>
        <w:t xml:space="preserve">Spezialität</w:t>
      </w:r>
      <w:r>
        <w:t xml:space="preserve">”</w:t>
      </w:r>
      <w:r>
        <w:t xml:space="preserve"> </w:t>
      </w:r>
      <w:r>
        <w:t xml:space="preserve">behandelt, nicht als gleichwertige Epistemologie</w:t>
      </w:r>
    </w:p>
    <w:p>
      <w:pPr>
        <w:pStyle w:val="BodyText"/>
      </w:pPr>
      <w:r>
        <w:rPr>
          <w:bCs/>
          <w:b/>
        </w:rPr>
        <w:t xml:space="preserve">Inkoherenz:</w:t>
      </w:r>
      <w:r>
        <w:t xml:space="preserve"> </w:t>
      </w:r>
      <w:r>
        <w:t xml:space="preserve">NZ hat symbolische Dekolonialisierung erreicht (Māori-Stimmen sind gehört), aber nicht epistemische Dekolonialisierung (Māori-Wissen ist nicht Autorität für</w:t>
      </w:r>
      <w:r>
        <w:t xml:space="preserve"> </w:t>
      </w:r>
      <w:r>
        <w:t xml:space="preserve">“</w:t>
      </w:r>
      <w:r>
        <w:t xml:space="preserve">professionell</w:t>
      </w:r>
      <w:r>
        <w:t xml:space="preserve">”</w:t>
      </w:r>
      <w:r>
        <w:t xml:space="preserve">).</w:t>
      </w:r>
    </w:p>
    <w:bookmarkEnd w:id="39"/>
    <w:bookmarkStart w:id="40" w:name="X605e285d13b409f06c2189154bb55b1d6a80def"/>
    <w:p>
      <w:pPr>
        <w:pStyle w:val="Heading3"/>
      </w:pPr>
      <w:r>
        <w:t xml:space="preserve">5.2 Schweiz: Nahtloser Alignment, versteckte Inkoherenz</w:t>
      </w:r>
    </w:p>
    <w:p>
      <w:pPr>
        <w:pStyle w:val="FirstParagraph"/>
      </w:pPr>
      <w:r>
        <w:rPr>
          <w:bCs/>
          <w:b/>
        </w:rPr>
        <w:t xml:space="preserve">Kontext:</w:t>
      </w:r>
      <w:r>
        <w:t xml:space="preserve"> </w:t>
      </w:r>
      <w:r>
        <w:t xml:space="preserve">Keine Kolonialgeschichte (offiziell neutral). Starker Wohlfahrtsstaat. Hohe Alignment mit IFSW-Werten (Individualismus, Menschenrechte, Partizipation).</w:t>
      </w:r>
    </w:p>
    <w:p>
      <w:pPr>
        <w:pStyle w:val="BodyText"/>
      </w:pPr>
      <w:r>
        <w:rPr>
          <w:bCs/>
          <w:b/>
        </w:rPr>
        <w:t xml:space="preserve">Performance:</w:t>
      </w:r>
      <w:r>
        <w:t xml:space="preserve"> </w:t>
      </w:r>
      <w:r>
        <w:t xml:space="preserve">“</w:t>
      </w:r>
      <w:r>
        <w:t xml:space="preserve">Professionelle Standards</w:t>
      </w:r>
      <w:r>
        <w:t xml:space="preserve">”</w:t>
      </w:r>
      <w:r>
        <w:t xml:space="preserve">,</w:t>
      </w:r>
      <w:r>
        <w:t xml:space="preserve"> </w:t>
      </w:r>
      <w:r>
        <w:t xml:space="preserve">“</w:t>
      </w:r>
      <w:r>
        <w:t xml:space="preserve">evidence-based practice</w:t>
      </w:r>
      <w:r>
        <w:t xml:space="preserve">”</w:t>
      </w:r>
      <w:r>
        <w:t xml:space="preserve">,</w:t>
      </w:r>
      <w:r>
        <w:t xml:space="preserve"> </w:t>
      </w:r>
      <w:r>
        <w:t xml:space="preserve">“</w:t>
      </w:r>
      <w:r>
        <w:t xml:space="preserve">internationale Orientierung</w:t>
      </w:r>
      <w:r>
        <w:t xml:space="preserve">”</w:t>
      </w:r>
    </w:p>
    <w:p>
      <w:pPr>
        <w:pStyle w:val="BodyText"/>
      </w:pPr>
      <w:r>
        <w:rPr>
          <w:bCs/>
          <w:b/>
        </w:rPr>
        <w:t xml:space="preserve">Enactment:</w:t>
      </w:r>
      <w:r>
        <w:t xml:space="preserve"> </w:t>
      </w:r>
      <w:r>
        <w:t xml:space="preserve">- IFSW-Standards passen glatt (kein sichtbarer Widerstand)</w:t>
      </w:r>
      <w:r>
        <w:t xml:space="preserve"> </w:t>
      </w:r>
      <w:r>
        <w:t xml:space="preserve">- Das Zusammenpassen ist selbst hegemonial (es versteckt, dass andere Modelle nicht möglich sind)</w:t>
      </w:r>
      <w:r>
        <w:t xml:space="preserve"> </w:t>
      </w:r>
      <w:r>
        <w:t xml:space="preserve">- Schweizer Wohlfahrtsliberalismus wird universalisiert als</w:t>
      </w:r>
      <w:r>
        <w:t xml:space="preserve"> </w:t>
      </w:r>
      <w:r>
        <w:t xml:space="preserve">“</w:t>
      </w:r>
      <w:r>
        <w:t xml:space="preserve">professionell</w:t>
      </w:r>
      <w:r>
        <w:t xml:space="preserve">”</w:t>
      </w:r>
    </w:p>
    <w:p>
      <w:pPr>
        <w:pStyle w:val="BodyText"/>
      </w:pPr>
      <w:r>
        <w:rPr>
          <w:bCs/>
          <w:b/>
        </w:rPr>
        <w:t xml:space="preserve">Inkoherenz:</w:t>
      </w:r>
      <w:r>
        <w:t xml:space="preserve"> </w:t>
      </w:r>
      <w:r>
        <w:t xml:space="preserve">Die Inkoherenz ist in der Schweiz unsichtbar, weil es keinen Konflikt zwischen Standards und Kontext gibt. Das macht die Hegemonie stärker.</w:t>
      </w:r>
    </w:p>
    <w:bookmarkEnd w:id="40"/>
    <w:bookmarkStart w:id="41" w:name="Xfa540d2c9c5dd56a379392ceaf7fab53791ff79"/>
    <w:p>
      <w:pPr>
        <w:pStyle w:val="Heading3"/>
      </w:pPr>
      <w:r>
        <w:t xml:space="preserve">5.3 China: Explizite Inkoherenz, unmögliche Auflösung</w:t>
      </w:r>
    </w:p>
    <w:p>
      <w:pPr>
        <w:pStyle w:val="FirstParagraph"/>
      </w:pPr>
      <w:r>
        <w:rPr>
          <w:bCs/>
          <w:b/>
        </w:rPr>
        <w:t xml:space="preserve">Kontext:</w:t>
      </w:r>
      <w:r>
        <w:t xml:space="preserve"> </w:t>
      </w:r>
      <w:r>
        <w:t xml:space="preserve">Neuprofessionalisierung sozialer Arbeit (1990er-2000er). Zentralisiertes Staatsystem. IFSW-Mitgliedschaft nein, aber starker internationaler Einfluss.</w:t>
      </w:r>
    </w:p>
    <w:p>
      <w:pPr>
        <w:pStyle w:val="BodyText"/>
      </w:pPr>
      <w:r>
        <w:rPr>
          <w:bCs/>
          <w:b/>
        </w:rPr>
        <w:t xml:space="preserve">Performance:</w:t>
      </w:r>
      <w:r>
        <w:t xml:space="preserve"> </w:t>
      </w:r>
      <w:r>
        <w:t xml:space="preserve">“</w:t>
      </w:r>
      <w:r>
        <w:t xml:space="preserve">Professionalisierung</w:t>
      </w:r>
      <w:r>
        <w:t xml:space="preserve">”</w:t>
      </w:r>
      <w:r>
        <w:t xml:space="preserve">,</w:t>
      </w:r>
      <w:r>
        <w:t xml:space="preserve"> </w:t>
      </w:r>
      <w:r>
        <w:t xml:space="preserve">“</w:t>
      </w:r>
      <w:r>
        <w:t xml:space="preserve">internationale Standards</w:t>
      </w:r>
      <w:r>
        <w:t xml:space="preserve">”</w:t>
      </w:r>
      <w:r>
        <w:t xml:space="preserve">,</w:t>
      </w:r>
      <w:r>
        <w:t xml:space="preserve"> </w:t>
      </w:r>
      <w:r>
        <w:t xml:space="preserve">“</w:t>
      </w:r>
      <w:r>
        <w:t xml:space="preserve">moderne Wohlfahrt</w:t>
      </w:r>
      <w:r>
        <w:t xml:space="preserve">”</w:t>
      </w:r>
    </w:p>
    <w:p>
      <w:pPr>
        <w:pStyle w:val="BodyText"/>
      </w:pPr>
      <w:r>
        <w:rPr>
          <w:bCs/>
          <w:b/>
        </w:rPr>
        <w:t xml:space="preserve">Enactment:</w:t>
      </w:r>
      <w:r>
        <w:t xml:space="preserve"> </w:t>
      </w:r>
      <w:r>
        <w:t xml:space="preserve">- Standards sagen: Autonomie, Selbstbestimmung des Klienten</w:t>
      </w:r>
      <w:r>
        <w:t xml:space="preserve"> </w:t>
      </w:r>
      <w:r>
        <w:t xml:space="preserve">- System verlangt: Staatliche Gehorsam, kollektive Ziele</w:t>
      </w:r>
      <w:r>
        <w:t xml:space="preserve"> </w:t>
      </w:r>
      <w:r>
        <w:t xml:space="preserve">- Sozialarbeiter erleben direkte Inkoherenz: Was ich gelernt habe, kann ich nicht tun</w:t>
      </w:r>
    </w:p>
    <w:p>
      <w:pPr>
        <w:pStyle w:val="BodyText"/>
      </w:pPr>
      <w:r>
        <w:rPr>
          <w:bCs/>
          <w:b/>
        </w:rPr>
        <w:t xml:space="preserve">Inkoherenz:</w:t>
      </w:r>
      <w:r>
        <w:t xml:space="preserve"> </w:t>
      </w:r>
      <w:r>
        <w:t xml:space="preserve">China zeigt die Inkoherenz explizit. Standards funktionieren nicht in einem zentralisierten Staat — und doch wird Professionalisierung durch diese Standards definiert.</w:t>
      </w:r>
    </w:p>
    <w:bookmarkEnd w:id="41"/>
    <w:bookmarkStart w:id="42" w:name="vergleichende-zusammenfassung"/>
    <w:p>
      <w:pPr>
        <w:pStyle w:val="Heading3"/>
      </w:pPr>
      <w:r>
        <w:t xml:space="preserve">5.4 Vergleichende Zusammenfassung</w:t>
      </w:r>
    </w:p>
    <w:p>
      <w:pPr>
        <w:pStyle w:val="FirstParagraph"/>
      </w:pPr>
      <w:r>
        <w:t xml:space="preserve">Die drei Fälle zeigen die gleiche strukturale Inkoherenz in unterschiedlichen Formen:</w:t>
      </w:r>
      <w:r>
        <w:t xml:space="preserve"> </w:t>
      </w:r>
      <w:r>
        <w:t xml:space="preserve">-</w:t>
      </w:r>
      <w:r>
        <w:t xml:space="preserve"> </w:t>
      </w:r>
      <w:r>
        <w:rPr>
          <w:bCs/>
          <w:b/>
        </w:rPr>
        <w:t xml:space="preserve">NZ:</w:t>
      </w:r>
      <w:r>
        <w:t xml:space="preserve"> </w:t>
      </w:r>
      <w:r>
        <w:t xml:space="preserve">Maskiert durch Multikultureualismus</w:t>
      </w:r>
      <w:r>
        <w:t xml:space="preserve"> </w:t>
      </w:r>
      <w:r>
        <w:t xml:space="preserve">-</w:t>
      </w:r>
      <w:r>
        <w:t xml:space="preserve"> </w:t>
      </w:r>
      <w:r>
        <w:rPr>
          <w:bCs/>
          <w:b/>
        </w:rPr>
        <w:t xml:space="preserve">Schweiz:</w:t>
      </w:r>
      <w:r>
        <w:t xml:space="preserve"> </w:t>
      </w:r>
      <w:r>
        <w:t xml:space="preserve">Unsichtbar durch Alignment</w:t>
      </w:r>
      <w:r>
        <w:t xml:space="preserve"> </w:t>
      </w:r>
      <w:r>
        <w:t xml:space="preserve">-</w:t>
      </w:r>
      <w:r>
        <w:t xml:space="preserve"> </w:t>
      </w:r>
      <w:r>
        <w:rPr>
          <w:bCs/>
          <w:b/>
        </w:rPr>
        <w:t xml:space="preserve">China:</w:t>
      </w:r>
      <w:r>
        <w:t xml:space="preserve"> </w:t>
      </w:r>
      <w:r>
        <w:t xml:space="preserve">Explizit durch Widerspruch</w:t>
      </w:r>
    </w:p>
    <w:p>
      <w:pPr>
        <w:pStyle w:val="BodyText"/>
      </w:pPr>
      <w:r>
        <w:t xml:space="preserve">Keine der drei Lösungen zeigt echte Pluralität oder Dekolonialisierung.</w:t>
      </w:r>
    </w:p>
    <w:p>
      <w:r>
        <w:pict>
          <v:rect style="width:0;height:1.5pt" o:hralign="center" o:hrstd="t" o:hr="t"/>
        </w:pict>
      </w:r>
    </w:p>
    <w:bookmarkEnd w:id="42"/>
    <w:bookmarkEnd w:id="43"/>
    <w:bookmarkStart w:id="48" w:name="X5c68a805f82f7a233458a95832e9696eb2ea835"/>
    <w:p>
      <w:pPr>
        <w:pStyle w:val="Heading2"/>
      </w:pPr>
      <w:r>
        <w:t xml:space="preserve">6. Analyse der Spannungsfelder: Vier Ausdrücke einer Inkoherenz</w:t>
      </w:r>
    </w:p>
    <w:p>
      <w:pPr>
        <w:pStyle w:val="FirstParagraph"/>
      </w:pPr>
      <w:r>
        <w:t xml:space="preserve">Die vier Spannungsfelder sind nicht separate Probleme. Sie sind vier Ausdrücke des</w:t>
      </w:r>
      <w:r>
        <w:t xml:space="preserve"> </w:t>
      </w:r>
      <w:r>
        <w:rPr>
          <w:bCs/>
          <w:b/>
        </w:rPr>
        <w:t xml:space="preserve">einen zentralen Paradoxons</w:t>
      </w:r>
      <w:r>
        <w:t xml:space="preserve">: Universalismus kann lokale Differenz nicht echte respektieren; echte Pluralität kann Universalismus nicht behaupten.</w:t>
      </w:r>
    </w:p>
    <w:bookmarkStart w:id="44" w:name="X1488606bc6dafe3b8e750beed8d103e9299d49f"/>
    <w:p>
      <w:pPr>
        <w:pStyle w:val="Heading3"/>
      </w:pPr>
      <w:r>
        <w:t xml:space="preserve">Spannungsfeld 1: Global/Lokal — Universale Ansprüche vs. Lokale Differenz</w:t>
      </w:r>
    </w:p>
    <w:p>
      <w:pPr>
        <w:pStyle w:val="FirstParagraph"/>
      </w:pPr>
      <w:r>
        <w:t xml:space="preserve">Die Spannung: Universale Standards können echte lokale Unterschiede nicht accommodieren. Der Universalismus gewinnt — das ist Hegemonie.</w:t>
      </w:r>
    </w:p>
    <w:p>
      <w:pPr>
        <w:pStyle w:val="BodyText"/>
      </w:pPr>
      <w:r>
        <w:rPr>
          <w:bCs/>
          <w:b/>
        </w:rPr>
        <w:t xml:space="preserve">Analyse:</w:t>
      </w:r>
      <w:r>
        <w:t xml:space="preserve"> </w:t>
      </w:r>
      <w:r>
        <w:t xml:space="preserve">- Gramscian: Der Universalismus ist naturalisiert als</w:t>
      </w:r>
      <w:r>
        <w:t xml:space="preserve"> </w:t>
      </w:r>
      <w:r>
        <w:t xml:space="preserve">“</w:t>
      </w:r>
      <w:r>
        <w:t xml:space="preserve">professionell</w:t>
      </w:r>
      <w:r>
        <w:t xml:space="preserve">”</w:t>
      </w:r>
      <w:r>
        <w:t xml:space="preserve"> </w:t>
      </w:r>
      <w:r>
        <w:t xml:space="preserve">- Fricker: Lokales Wissen wird gehört, aber nicht als gleich gültig geglaubt</w:t>
      </w:r>
      <w:r>
        <w:t xml:space="preserve"> </w:t>
      </w:r>
      <w:r>
        <w:t xml:space="preserve">- Mignolo: Westliche Standards werden universalisiert; lokale Standards marginalisiert</w:t>
      </w:r>
    </w:p>
    <w:bookmarkEnd w:id="44"/>
    <w:bookmarkStart w:id="45" w:name="X5d4b51d87ee70e8c46a079139bee0cf22b37ae0"/>
    <w:p>
      <w:pPr>
        <w:pStyle w:val="Heading3"/>
      </w:pPr>
      <w:r>
        <w:t xml:space="preserve">Spannungsfeld 2: Individual/Kollektiv — Individualisierung vs. Wohlfahrt der Gemeinschaft</w:t>
      </w:r>
    </w:p>
    <w:p>
      <w:pPr>
        <w:pStyle w:val="FirstParagraph"/>
      </w:pPr>
      <w:r>
        <w:t xml:space="preserve">Die Spannung: IFSW privilegiert Individualismus (self-determination, autonomy). Diesen als universell zu präsentieren, während kollektivistische Frameworks als</w:t>
      </w:r>
      <w:r>
        <w:t xml:space="preserve"> </w:t>
      </w:r>
      <w:r>
        <w:t xml:space="preserve">“</w:t>
      </w:r>
      <w:r>
        <w:t xml:space="preserve">kulturell</w:t>
      </w:r>
      <w:r>
        <w:t xml:space="preserve">”</w:t>
      </w:r>
      <w:r>
        <w:t xml:space="preserve"> </w:t>
      </w:r>
      <w:r>
        <w:t xml:space="preserve">marginalisiert werden, ist Kolonialiät.</w:t>
      </w:r>
    </w:p>
    <w:p>
      <w:pPr>
        <w:pStyle w:val="BodyText"/>
      </w:pPr>
      <w:r>
        <w:rPr>
          <w:bCs/>
          <w:b/>
        </w:rPr>
        <w:t xml:space="preserve">Analyse:</w:t>
      </w:r>
      <w:r>
        <w:t xml:space="preserve"> </w:t>
      </w:r>
      <w:r>
        <w:t xml:space="preserve">- Mignolo: Individualismus =</w:t>
      </w:r>
      <w:r>
        <w:t xml:space="preserve"> </w:t>
      </w:r>
      <w:r>
        <w:t xml:space="preserve">“</w:t>
      </w:r>
      <w:r>
        <w:t xml:space="preserve">modern</w:t>
      </w:r>
      <w:r>
        <w:t xml:space="preserve">”</w:t>
      </w:r>
      <w:r>
        <w:t xml:space="preserve">,</w:t>
      </w:r>
      <w:r>
        <w:t xml:space="preserve"> </w:t>
      </w:r>
      <w:r>
        <w:t xml:space="preserve">“</w:t>
      </w:r>
      <w:r>
        <w:t xml:space="preserve">professionell</w:t>
      </w:r>
      <w:r>
        <w:t xml:space="preserve">”</w:t>
      </w:r>
      <w:r>
        <w:t xml:space="preserve">; Kollektivismus =</w:t>
      </w:r>
      <w:r>
        <w:t xml:space="preserve"> </w:t>
      </w:r>
      <w:r>
        <w:t xml:space="preserve">“</w:t>
      </w:r>
      <w:r>
        <w:t xml:space="preserve">traditionell</w:t>
      </w:r>
      <w:r>
        <w:t xml:space="preserve">”</w:t>
      </w:r>
      <w:r>
        <w:t xml:space="preserve">,</w:t>
      </w:r>
      <w:r>
        <w:t xml:space="preserve"> </w:t>
      </w:r>
      <w:r>
        <w:t xml:space="preserve">“</w:t>
      </w:r>
      <w:r>
        <w:t xml:space="preserve">nicht-entwickelt</w:t>
      </w:r>
      <w:r>
        <w:t xml:space="preserve">”</w:t>
      </w:r>
      <w:r>
        <w:t xml:space="preserve"> </w:t>
      </w:r>
      <w:r>
        <w:t xml:space="preserve">- Das reproduziert die Wissensh ierarchie der Kolonialität</w:t>
      </w:r>
    </w:p>
    <w:bookmarkEnd w:id="45"/>
    <w:bookmarkStart w:id="46" w:name="X0924b99f3316c30fa41e11296785753c3165839"/>
    <w:p>
      <w:pPr>
        <w:pStyle w:val="Heading3"/>
      </w:pPr>
      <w:r>
        <w:t xml:space="preserve">Spannungsfeld 3: Professionalisierung/Dekolonisierung — Moderne Standards vs. Lokale Wissenssysteme</w:t>
      </w:r>
    </w:p>
    <w:p>
      <w:pPr>
        <w:pStyle w:val="FirstParagraph"/>
      </w:pPr>
      <w:r>
        <w:t xml:space="preserve">Die Spannung: Sich</w:t>
      </w:r>
      <w:r>
        <w:t xml:space="preserve"> </w:t>
      </w:r>
      <w:r>
        <w:t xml:space="preserve">“</w:t>
      </w:r>
      <w:r>
        <w:t xml:space="preserve">professionalisieren</w:t>
      </w:r>
      <w:r>
        <w:t xml:space="preserve">”</w:t>
      </w:r>
      <w:r>
        <w:t xml:space="preserve"> </w:t>
      </w:r>
      <w:r>
        <w:t xml:space="preserve">bedeutet ISA-Frameworks adoptieren. Das ist zugleich koloniale Epistemisierung.</w:t>
      </w:r>
    </w:p>
    <w:p>
      <w:pPr>
        <w:pStyle w:val="BodyText"/>
      </w:pPr>
      <w:r>
        <w:rPr>
          <w:bCs/>
          <w:b/>
        </w:rPr>
        <w:t xml:space="preserve">Analyse:</w:t>
      </w:r>
      <w:r>
        <w:t xml:space="preserve"> </w:t>
      </w:r>
      <w:r>
        <w:t xml:space="preserve">- Ein Praktiker, der professionell sein will, muss westliche Standards internalisieren</w:t>
      </w:r>
      <w:r>
        <w:t xml:space="preserve"> </w:t>
      </w:r>
      <w:r>
        <w:t xml:space="preserve">- Das ist der Prozess der Epistemisierung — das eigene Wissen wird untergeordnet</w:t>
      </w:r>
    </w:p>
    <w:bookmarkEnd w:id="46"/>
    <w:bookmarkStart w:id="47" w:name="X295a9236ea3c1c0931454f99fbff56affb1168b"/>
    <w:p>
      <w:pPr>
        <w:pStyle w:val="Heading3"/>
      </w:pPr>
      <w:r>
        <w:t xml:space="preserve">Spannungsfeld 4: Hegemoniale Kohärenz/Epistemische Pluralität — Kontrolle vs. Respekt</w:t>
      </w:r>
    </w:p>
    <w:p>
      <w:pPr>
        <w:pStyle w:val="FirstParagraph"/>
      </w:pPr>
      <w:r>
        <w:t xml:space="preserve">Die Spannung: Kohärenz durch Hegemonie (ein Framework für alle) vs. Kohärenz durch Pluralität (multiple gleich-gültige Frameworks). ISA versucht beides — das ist die strukturale Inkoherenz.</w:t>
      </w:r>
    </w:p>
    <w:p>
      <w:pPr>
        <w:pStyle w:val="BodyText"/>
      </w:pPr>
      <w:r>
        <w:rPr>
          <w:bCs/>
          <w:b/>
        </w:rPr>
        <w:t xml:space="preserve">Analyse:</w:t>
      </w:r>
      <w:r>
        <w:t xml:space="preserve"> </w:t>
      </w:r>
      <w:r>
        <w:t xml:space="preserve">- ISA claims universalism + pluralism</w:t>
      </w:r>
      <w:r>
        <w:t xml:space="preserve"> </w:t>
      </w:r>
      <w:r>
        <w:t xml:space="preserve">- Achieves universalism + domination</w:t>
      </w:r>
      <w:r>
        <w:t xml:space="preserve"> </w:t>
      </w:r>
      <w:r>
        <w:t xml:space="preserve">- Calls it</w:t>
      </w:r>
      <w:r>
        <w:t xml:space="preserve"> </w:t>
      </w:r>
      <w:r>
        <w:t xml:space="preserve">“</w:t>
      </w:r>
      <w:r>
        <w:t xml:space="preserve">professional coherence</w:t>
      </w:r>
      <w:r>
        <w:t xml:space="preserve">”</w:t>
      </w:r>
    </w:p>
    <w:p>
      <w:r>
        <w:pict>
          <v:rect style="width:0;height:1.5pt" o:hralign="center" o:hrstd="t" o:hr="t"/>
        </w:pict>
      </w:r>
    </w:p>
    <w:bookmarkEnd w:id="47"/>
    <w:bookmarkEnd w:id="48"/>
    <w:bookmarkStart w:id="52" w:name="X5f7054a08a57c7869054ab94dc2e372791ed19f"/>
    <w:p>
      <w:pPr>
        <w:pStyle w:val="Heading2"/>
      </w:pPr>
      <w:r>
        <w:t xml:space="preserve">7. Synthese und Stellungnahme: Die Inkoherenz als Argument</w:t>
      </w:r>
    </w:p>
    <w:bookmarkStart w:id="49" w:name="was-ff1-3-zusammen-zeigen"/>
    <w:p>
      <w:pPr>
        <w:pStyle w:val="Heading3"/>
      </w:pPr>
      <w:r>
        <w:t xml:space="preserve">Was FF1-3 zusammen zeigen:</w:t>
      </w:r>
    </w:p>
    <w:p>
      <w:pPr>
        <w:pStyle w:val="FirstParagraph"/>
      </w:pPr>
      <w:r>
        <w:rPr>
          <w:bCs/>
          <w:b/>
        </w:rPr>
        <w:t xml:space="preserve">FF1:</w:t>
      </w:r>
      <w:r>
        <w:t xml:space="preserve"> </w:t>
      </w:r>
      <w:r>
        <w:t xml:space="preserve">IFSW-Dokumente behaupten Universalität, während sie spezifische (westliche, liberale, individualistisch) Annahmen enthalten.</w:t>
      </w:r>
    </w:p>
    <w:p>
      <w:pPr>
        <w:pStyle w:val="BodyText"/>
      </w:pPr>
      <w:r>
        <w:rPr>
          <w:bCs/>
          <w:b/>
        </w:rPr>
        <w:t xml:space="preserve">FF2:</w:t>
      </w:r>
      <w:r>
        <w:t xml:space="preserve"> </w:t>
      </w:r>
      <w:r>
        <w:t xml:space="preserve">Diese Behauptung kann nur durchgesetzt werden hegemonial. Jeder Kontext reproduziert die Dominanz unterschiedlich — maskiert in NZ, unsichtbar in der Schweiz, explizit in China.</w:t>
      </w:r>
    </w:p>
    <w:p>
      <w:pPr>
        <w:pStyle w:val="BodyText"/>
      </w:pPr>
      <w:r>
        <w:rPr>
          <w:bCs/>
          <w:b/>
        </w:rPr>
        <w:t xml:space="preserve">FF3:</w:t>
      </w:r>
      <w:r>
        <w:t xml:space="preserve"> </w:t>
      </w:r>
      <w:r>
        <w:t xml:space="preserve">Professionelle Kohärenz unter ISA ist hegemoniale Kohärenz, nicht dialogische oder echte Pluralität.</w:t>
      </w:r>
    </w:p>
    <w:bookmarkEnd w:id="49"/>
    <w:bookmarkStart w:id="50" w:name="die-zentrale-these"/>
    <w:p>
      <w:pPr>
        <w:pStyle w:val="Heading3"/>
      </w:pPr>
      <w:r>
        <w:t xml:space="preserve">Die zentrale These:</w:t>
      </w:r>
    </w:p>
    <w:p>
      <w:pPr>
        <w:pStyle w:val="FirstParagraph"/>
      </w:pPr>
      <w:r>
        <w:t xml:space="preserve">“</w:t>
      </w:r>
      <w:r>
        <w:rPr>
          <w:bCs/>
          <w:b/>
        </w:rPr>
        <w:t xml:space="preserve">Professionelle Kohärenz der internationalen Sozialen Arbeit</w:t>
      </w:r>
      <w:r>
        <w:t xml:space="preserve"> </w:t>
      </w:r>
      <w:r>
        <w:t xml:space="preserve">ist eine</w:t>
      </w:r>
      <w:r>
        <w:t xml:space="preserve"> </w:t>
      </w:r>
      <w:r>
        <w:rPr>
          <w:bCs/>
          <w:b/>
        </w:rPr>
        <w:t xml:space="preserve">falsche Kohärenz</w:t>
      </w:r>
      <w:r>
        <w:t xml:space="preserve">. Sie wird erreicht durch</w:t>
      </w:r>
      <w:r>
        <w:t xml:space="preserve"> </w:t>
      </w:r>
      <w:r>
        <w:rPr>
          <w:bCs/>
          <w:b/>
        </w:rPr>
        <w:t xml:space="preserve">Hegemonie</w:t>
      </w:r>
      <w:r>
        <w:t xml:space="preserve">, nicht durch Dialog oder echte Pluralität. Die Inkoherenz — die Lücke zwischen Performance und Enactment — ist der</w:t>
      </w:r>
      <w:r>
        <w:t xml:space="preserve"> </w:t>
      </w:r>
      <w:r>
        <w:rPr>
          <w:bCs/>
          <w:b/>
        </w:rPr>
        <w:t xml:space="preserve">Mechanismus der Hegemonie, nicht ihr Fehler</w:t>
      </w:r>
      <w:r>
        <w:t xml:space="preserve">.</w:t>
      </w:r>
      <w:r>
        <w:t xml:space="preserve">”</w:t>
      </w:r>
    </w:p>
    <w:bookmarkEnd w:id="50"/>
    <w:bookmarkStart w:id="51" w:name="die-normative-frage"/>
    <w:p>
      <w:pPr>
        <w:pStyle w:val="Heading3"/>
      </w:pPr>
      <w:r>
        <w:t xml:space="preserve">Die normative Frage:</w:t>
      </w:r>
    </w:p>
    <w:p>
      <w:pPr>
        <w:pStyle w:val="FirstParagraph"/>
      </w:pPr>
      <w:r>
        <w:t xml:space="preserve">Ist wahre professionelle Kohärenz ohne Hegemonie möglich? Diese Thesis argumentiert: Unter gegenwärtigen Strukturen nein. Aber sie weist auch auf hin, was sich ändern müsste: epistemische Gleichheit statt symbolischer Anerkennung, Dekolonialisierung statt Professionalisierung, Pluralität statt Universalisierung.</w:t>
      </w:r>
    </w:p>
    <w:p>
      <w:r>
        <w:pict>
          <v:rect style="width:0;height:1.5pt" o:hralign="center" o:hrstd="t" o:hr="t"/>
        </w:pict>
      </w:r>
    </w:p>
    <w:bookmarkEnd w:id="51"/>
    <w:bookmarkEnd w:id="52"/>
    <w:bookmarkStart w:id="56" w:name="Xc7704f55e2ab1c78e4f3b09c2473051a55a0a4a"/>
    <w:p>
      <w:pPr>
        <w:pStyle w:val="Heading2"/>
      </w:pPr>
      <w:r>
        <w:t xml:space="preserve">8. Handlungsempfehlungen: Nicht</w:t>
      </w:r>
      <w:r>
        <w:t xml:space="preserve"> </w:t>
      </w:r>
      <w:r>
        <w:t xml:space="preserve">“</w:t>
      </w:r>
      <w:r>
        <w:t xml:space="preserve">Wie man es besser macht</w:t>
      </w:r>
      <w:r>
        <w:t xml:space="preserve">”</w:t>
      </w:r>
      <w:r>
        <w:t xml:space="preserve">, sondern</w:t>
      </w:r>
      <w:r>
        <w:t xml:space="preserve"> </w:t>
      </w:r>
      <w:r>
        <w:t xml:space="preserve">“</w:t>
      </w:r>
      <w:r>
        <w:t xml:space="preserve">Was sich ändern müsste</w:t>
      </w:r>
      <w:r>
        <w:t xml:space="preserve">”</w:t>
      </w:r>
    </w:p>
    <w:bookmarkStart w:id="53" w:name="ebene-der-ausbildung"/>
    <w:p>
      <w:pPr>
        <w:pStyle w:val="Heading3"/>
      </w:pPr>
      <w:r>
        <w:t xml:space="preserve">8.1 Ebene der Ausbildung</w:t>
      </w:r>
    </w:p>
    <w:p>
      <w:pPr>
        <w:pStyle w:val="FirstParagraph"/>
      </w:pPr>
      <w:r>
        <w:rPr>
          <w:bCs/>
          <w:b/>
        </w:rPr>
        <w:t xml:space="preserve">Problem:</w:t>
      </w:r>
      <w:r>
        <w:t xml:space="preserve"> </w:t>
      </w:r>
      <w:r>
        <w:t xml:space="preserve">ISA-Curricula reproduzieren Hegemonie durch das Banking-Modell (Standards werden deponiert, nicht kritisch hinterfragt).</w:t>
      </w:r>
    </w:p>
    <w:p>
      <w:pPr>
        <w:pStyle w:val="BodyText"/>
      </w:pPr>
      <w:r>
        <w:rPr>
          <w:bCs/>
          <w:b/>
        </w:rPr>
        <w:t xml:space="preserve">Was sich ändern müsste:</w:t>
      </w:r>
      <w:r>
        <w:t xml:space="preserve"> </w:t>
      </w:r>
      <w:r>
        <w:t xml:space="preserve">- Studierende lernen nicht nur IFSW-Standards, sondern lernen, sie kritisch zu hinterfragen</w:t>
      </w:r>
      <w:r>
        <w:t xml:space="preserve"> </w:t>
      </w:r>
      <w:r>
        <w:t xml:space="preserve">- Nicht-westliche Epistemologien werden nicht als</w:t>
      </w:r>
      <w:r>
        <w:t xml:space="preserve"> </w:t>
      </w:r>
      <w:r>
        <w:t xml:space="preserve">“</w:t>
      </w:r>
      <w:r>
        <w:t xml:space="preserve">Zusatz</w:t>
      </w:r>
      <w:r>
        <w:t xml:space="preserve">”</w:t>
      </w:r>
      <w:r>
        <w:t xml:space="preserve">, sondern als gleich-gültige Frameworks behandelt</w:t>
      </w:r>
      <w:r>
        <w:t xml:space="preserve"> </w:t>
      </w:r>
      <w:r>
        <w:t xml:space="preserve">- Freire’s</w:t>
      </w:r>
      <w:r>
        <w:t xml:space="preserve"> </w:t>
      </w:r>
      <w:r>
        <w:t xml:space="preserve">“</w:t>
      </w:r>
      <w:r>
        <w:t xml:space="preserve">problem-posing education</w:t>
      </w:r>
      <w:r>
        <w:t xml:space="preserve">”</w:t>
      </w:r>
      <w:r>
        <w:t xml:space="preserve">: Welt wird gemeinsam kritisch untersucht, nicht Wahrheiten werden deponiert</w:t>
      </w:r>
    </w:p>
    <w:bookmarkEnd w:id="53"/>
    <w:bookmarkStart w:id="54" w:name="ebene-der-praxis"/>
    <w:p>
      <w:pPr>
        <w:pStyle w:val="Heading3"/>
      </w:pPr>
      <w:r>
        <w:t xml:space="preserve">8.2 Ebene der Praxis</w:t>
      </w:r>
    </w:p>
    <w:p>
      <w:pPr>
        <w:pStyle w:val="FirstParagraph"/>
      </w:pPr>
      <w:r>
        <w:rPr>
          <w:bCs/>
          <w:b/>
        </w:rPr>
        <w:t xml:space="preserve">Problem:</w:t>
      </w:r>
      <w:r>
        <w:t xml:space="preserve"> </w:t>
      </w:r>
      <w:r>
        <w:t xml:space="preserve">Praktiker erleben Inkoherenz zwischen Training und Kontext, besonders in China und NZ.</w:t>
      </w:r>
    </w:p>
    <w:p>
      <w:pPr>
        <w:pStyle w:val="BodyText"/>
      </w:pPr>
      <w:r>
        <w:rPr>
          <w:bCs/>
          <w:b/>
        </w:rPr>
        <w:t xml:space="preserve">Was sich ändern müsste:</w:t>
      </w:r>
      <w:r>
        <w:t xml:space="preserve"> </w:t>
      </w:r>
      <w:r>
        <w:t xml:space="preserve">- Praktiker werden explizit gelehrt, hegemoniale Standards zu erkennen und lokal zu widerstehen</w:t>
      </w:r>
      <w:r>
        <w:t xml:space="preserve"> </w:t>
      </w:r>
      <w:r>
        <w:t xml:space="preserve">- Platz für</w:t>
      </w:r>
      <w:r>
        <w:t xml:space="preserve"> </w:t>
      </w:r>
      <w:r>
        <w:t xml:space="preserve">“</w:t>
      </w:r>
      <w:r>
        <w:t xml:space="preserve">hybrida Praxis</w:t>
      </w:r>
      <w:r>
        <w:t xml:space="preserve">”</w:t>
      </w:r>
      <w:r>
        <w:t xml:space="preserve"> </w:t>
      </w:r>
      <w:r>
        <w:t xml:space="preserve">— Kombination von IFSW und lokalem Wissen</w:t>
      </w:r>
      <w:r>
        <w:t xml:space="preserve"> </w:t>
      </w:r>
      <w:r>
        <w:t xml:space="preserve">- Nicht</w:t>
      </w:r>
      <w:r>
        <w:t xml:space="preserve"> </w:t>
      </w:r>
      <w:r>
        <w:t xml:space="preserve">“</w:t>
      </w:r>
      <w:r>
        <w:t xml:space="preserve">Anpassung</w:t>
      </w:r>
      <w:r>
        <w:t xml:space="preserve">”</w:t>
      </w:r>
      <w:r>
        <w:t xml:space="preserve"> </w:t>
      </w:r>
      <w:r>
        <w:t xml:space="preserve">der Standards an den Kontext, sondern echte Pluralität mehrerer Standards</w:t>
      </w:r>
    </w:p>
    <w:bookmarkEnd w:id="54"/>
    <w:bookmarkStart w:id="55" w:name="ebene-der-internationalen-institutionen"/>
    <w:p>
      <w:pPr>
        <w:pStyle w:val="Heading3"/>
      </w:pPr>
      <w:r>
        <w:t xml:space="preserve">8.3 Ebene der internationalen Institutionen</w:t>
      </w:r>
    </w:p>
    <w:p>
      <w:pPr>
        <w:pStyle w:val="FirstParagraph"/>
      </w:pPr>
      <w:r>
        <w:rPr>
          <w:bCs/>
          <w:b/>
        </w:rPr>
        <w:t xml:space="preserve">Problem:</w:t>
      </w:r>
      <w:r>
        <w:t xml:space="preserve"> </w:t>
      </w:r>
      <w:r>
        <w:t xml:space="preserve">IFSW/IASSW setzen Standards ohne echte epistemische Gleichheit.</w:t>
      </w:r>
    </w:p>
    <w:p>
      <w:pPr>
        <w:pStyle w:val="BodyText"/>
      </w:pPr>
      <w:r>
        <w:rPr>
          <w:bCs/>
          <w:b/>
        </w:rPr>
        <w:t xml:space="preserve">Was sich ändern müsste:</w:t>
      </w:r>
      <w:r>
        <w:t xml:space="preserve"> </w:t>
      </w:r>
      <w:r>
        <w:t xml:space="preserve">- Netzwerk-Modelle statt hierarchischer Standards</w:t>
      </w:r>
      <w:r>
        <w:t xml:space="preserve"> </w:t>
      </w:r>
      <w:r>
        <w:t xml:space="preserve">- Gegenseitiges Lernen statt Top-Down-Transfer</w:t>
      </w:r>
      <w:r>
        <w:t xml:space="preserve"> </w:t>
      </w:r>
      <w:r>
        <w:t xml:space="preserve">- Nicht-westliche Stimmen müssen Autorität haben, nicht nur Repräsentation</w:t>
      </w:r>
    </w:p>
    <w:p>
      <w:r>
        <w:pict>
          <v:rect style="width:0;height:1.5pt" o:hralign="center" o:hrstd="t" o:hr="t"/>
        </w:pict>
      </w:r>
    </w:p>
    <w:bookmarkEnd w:id="55"/>
    <w:bookmarkEnd w:id="56"/>
    <w:bookmarkStart w:id="57" w:name="gliederung-der-finalen-thesis"/>
    <w:p>
      <w:pPr>
        <w:pStyle w:val="Heading2"/>
      </w:pPr>
      <w:r>
        <w:t xml:space="preserve">9. Gliederung der finalen Thesis</w:t>
      </w:r>
    </w:p>
    <w:p>
      <w:pPr>
        <w:numPr>
          <w:ilvl w:val="0"/>
          <w:numId w:val="1002"/>
        </w:numPr>
        <w:pStyle w:val="Compact"/>
      </w:pPr>
      <w:r>
        <w:rPr>
          <w:bCs/>
          <w:b/>
        </w:rPr>
        <w:t xml:space="preserve">Einleitung</w:t>
      </w:r>
      <w:r>
        <w:t xml:space="preserve"> </w:t>
      </w:r>
      <w:r>
        <w:t xml:space="preserve">— Das Paradoxon der ISA</w:t>
      </w:r>
    </w:p>
    <w:p>
      <w:pPr>
        <w:numPr>
          <w:ilvl w:val="0"/>
          <w:numId w:val="1002"/>
        </w:numPr>
        <w:pStyle w:val="Compact"/>
      </w:pPr>
      <w:r>
        <w:rPr>
          <w:bCs/>
          <w:b/>
        </w:rPr>
        <w:t xml:space="preserve">Forschungsfragen</w:t>
      </w:r>
      <w:r>
        <w:t xml:space="preserve"> </w:t>
      </w:r>
      <w:r>
        <w:t xml:space="preserve">— Stufenfolge (Performance → Enactment → Normativ)</w:t>
      </w:r>
    </w:p>
    <w:p>
      <w:pPr>
        <w:numPr>
          <w:ilvl w:val="0"/>
          <w:numId w:val="1002"/>
        </w:numPr>
        <w:pStyle w:val="Compact"/>
      </w:pPr>
      <w:r>
        <w:rPr>
          <w:bCs/>
          <w:b/>
        </w:rPr>
        <w:t xml:space="preserve">Theoretischer Rahmen</w:t>
      </w:r>
      <w:r>
        <w:t xml:space="preserve"> </w:t>
      </w:r>
      <w:r>
        <w:t xml:space="preserve">— Postkolonial, Hegemonie, Epistemik, Pedagogik</w:t>
      </w:r>
    </w:p>
    <w:p>
      <w:pPr>
        <w:numPr>
          <w:ilvl w:val="0"/>
          <w:numId w:val="1002"/>
        </w:numPr>
        <w:pStyle w:val="Compact"/>
      </w:pPr>
      <w:r>
        <w:rPr>
          <w:bCs/>
          <w:b/>
        </w:rPr>
        <w:t xml:space="preserve">Methodik</w:t>
      </w:r>
      <w:r>
        <w:t xml:space="preserve"> </w:t>
      </w:r>
      <w:r>
        <w:t xml:space="preserve">— CDA + theoretische Erweiterungen</w:t>
      </w:r>
    </w:p>
    <w:p>
      <w:pPr>
        <w:numPr>
          <w:ilvl w:val="0"/>
          <w:numId w:val="1002"/>
        </w:numPr>
        <w:pStyle w:val="Compact"/>
      </w:pPr>
      <w:r>
        <w:rPr>
          <w:bCs/>
          <w:b/>
        </w:rPr>
        <w:t xml:space="preserve">FF1 Analyse</w:t>
      </w:r>
      <w:r>
        <w:t xml:space="preserve"> </w:t>
      </w:r>
      <w:r>
        <w:t xml:space="preserve">— IFSW-Dokumente als hegemoniale Texte</w:t>
      </w:r>
    </w:p>
    <w:p>
      <w:pPr>
        <w:numPr>
          <w:ilvl w:val="0"/>
          <w:numId w:val="1002"/>
        </w:numPr>
        <w:pStyle w:val="Compact"/>
      </w:pPr>
      <w:r>
        <w:rPr>
          <w:bCs/>
          <w:b/>
        </w:rPr>
        <w:t xml:space="preserve">FF2 Analyse</w:t>
      </w:r>
      <w:r>
        <w:t xml:space="preserve"> </w:t>
      </w:r>
      <w:r>
        <w:t xml:space="preserve">— NZ, Schweiz, China: Manifestationen der Inkoherenz</w:t>
      </w:r>
    </w:p>
    <w:p>
      <w:pPr>
        <w:numPr>
          <w:ilvl w:val="0"/>
          <w:numId w:val="1002"/>
        </w:numPr>
        <w:pStyle w:val="Compact"/>
      </w:pPr>
      <w:r>
        <w:rPr>
          <w:bCs/>
          <w:b/>
        </w:rPr>
        <w:t xml:space="preserve">FF3 Analyse</w:t>
      </w:r>
      <w:r>
        <w:t xml:space="preserve"> </w:t>
      </w:r>
      <w:r>
        <w:t xml:space="preserve">— Die vier Spannungsfelder als Ausdrücke einer Inkoherenz</w:t>
      </w:r>
    </w:p>
    <w:p>
      <w:pPr>
        <w:numPr>
          <w:ilvl w:val="0"/>
          <w:numId w:val="1002"/>
        </w:numPr>
        <w:pStyle w:val="Compact"/>
      </w:pPr>
      <w:r>
        <w:rPr>
          <w:bCs/>
          <w:b/>
        </w:rPr>
        <w:t xml:space="preserve">Synthese &amp; Fazit</w:t>
      </w:r>
      <w:r>
        <w:t xml:space="preserve"> </w:t>
      </w:r>
      <w:r>
        <w:t xml:space="preserve">— Was das alles für professionelle Kohärenz bedeutet</w:t>
      </w:r>
    </w:p>
    <w:p>
      <w:pPr>
        <w:numPr>
          <w:ilvl w:val="0"/>
          <w:numId w:val="1002"/>
        </w:numPr>
        <w:pStyle w:val="Compact"/>
      </w:pPr>
      <w:r>
        <w:rPr>
          <w:bCs/>
          <w:b/>
        </w:rPr>
        <w:t xml:space="preserve">Ausblick</w:t>
      </w:r>
      <w:r>
        <w:t xml:space="preserve"> </w:t>
      </w:r>
      <w:r>
        <w:t xml:space="preserve">— Was würde eine nicht-hegemoniale ISA erfordern?</w:t>
      </w:r>
    </w:p>
    <w:p>
      <w:r>
        <w:pict>
          <v:rect style="width:0;height:1.5pt" o:hralign="center" o:hrstd="t" o:hr="t"/>
        </w:pict>
      </w:r>
    </w:p>
    <w:p>
      <w:pPr>
        <w:pStyle w:val="FirstParagraph"/>
      </w:pPr>
      <w:r>
        <w:rPr>
          <w:bCs/>
          <w:b/>
        </w:rPr>
        <w:t xml:space="preserve">Nächster Schritt:</w:t>
      </w:r>
      <w:r>
        <w:t xml:space="preserve"> </w:t>
      </w:r>
      <w:r>
        <w:t xml:space="preserve">Bestätigung mit Supervisoren? Oder direkt in die FF1-Dokumentenanalyse starten?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2026-02-23T21:36:30Z</dcterms:created>
  <dcterms:modified xsi:type="dcterms:W3CDTF">2026-02-23T21:36:30Z</dcterms:modified>
</cp:coreProperties>
</file>

<file path=docProps/custom.xml><?xml version="1.0" encoding="utf-8"?>
<Properties xmlns="http://schemas.openxmlformats.org/officeDocument/2006/custom-properties" xmlns:vt="http://schemas.openxmlformats.org/officeDocument/2006/docPropsVTypes"/>
</file>