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edaefb65a3f6cd3a3a8a403d08475a1047489a3"/>
    <w:p>
      <w:pPr>
        <w:pStyle w:val="Heading1"/>
      </w:pPr>
      <w:r>
        <w:t xml:space="preserve">BA Thesis Concept — Restrukturiert &amp; Konkretisiert</w:t>
      </w:r>
    </w:p>
    <w:p>
      <w:pPr>
        <w:pStyle w:val="FirstParagraph"/>
      </w:pPr>
      <w:r>
        <w:rPr>
          <w:bCs/>
          <w:b/>
        </w:rPr>
        <w:t xml:space="preserve">Gianluca Kühne | Matrikel-Nr. 21-472-519</w:t>
      </w:r>
      <w:r>
        <w:br/>
      </w:r>
      <w:r>
        <w:rPr>
          <w:bCs/>
          <w:b/>
        </w:rPr>
        <w:t xml:space="preserve">Hochschule für Soziale Arbeit FHNW | April 2026</w:t>
      </w:r>
    </w:p>
    <w:p>
      <w:r>
        <w:pict>
          <v:rect style="width:0;height:1.5pt" o:hralign="center" o:hrstd="t" o:hr="t"/>
        </w:pict>
      </w:r>
    </w:p>
    <w:bookmarkStart w:id="20" w:name="einleitung-das-zentrale-paradoxon"/>
    <w:p>
      <w:pPr>
        <w:pStyle w:val="Heading2"/>
      </w:pPr>
      <w:r>
        <w:t xml:space="preserve">1. Einleitung: Das zentrale Paradoxon</w:t>
      </w:r>
    </w:p>
    <w:p>
      <w:pPr>
        <w:pStyle w:val="FirstParagraph"/>
      </w:pPr>
      <w:r>
        <w:t xml:space="preserve">Die internationale Soziale Arbeit (ISA) präsentiert sich als ein Projekt der globalen professionellen Kohärenz. Durch Dokumente wie die IFSW/IASSW-Stellungnahmen zu ethischen Prinzipien verspricht ISA: universelle Standards, die zugleich lokale Unterschiede respektieren. Eine globale Profession, die in aller Vielfalt kohärent bleibt.</w:t>
      </w:r>
    </w:p>
    <w:p>
      <w:pPr>
        <w:pStyle w:val="BodyText"/>
      </w:pPr>
      <w:r>
        <w:rPr>
          <w:bCs/>
          <w:b/>
        </w:rPr>
        <w:t xml:space="preserve">Diese These argumentiert, dass dieses Versprechen unmöglich eingelöst werden kann.</w:t>
      </w:r>
    </w:p>
    <w:p>
      <w:pPr>
        <w:pStyle w:val="BodyText"/>
      </w:pPr>
      <w:r>
        <w:t xml:space="preserve">ISA steht vor einem logischen Paradoxon:</w:t>
      </w:r>
      <w:r>
        <w:t xml:space="preserve"> </w:t>
      </w:r>
      <w:r>
        <w:t xml:space="preserve">-</w:t>
      </w:r>
      <w:r>
        <w:t xml:space="preserve"> </w:t>
      </w:r>
      <w:r>
        <w:rPr>
          <w:bCs/>
          <w:b/>
        </w:rPr>
        <w:t xml:space="preserve">Universalismus und Pluralismus sind unvereinbar.</w:t>
      </w:r>
      <w:r>
        <w:t xml:space="preserve"> </w:t>
      </w:r>
      <w:r>
        <w:t xml:space="preserve">- Entweder sind Standards wirklich universal — dann dominieren sie lokale Unterschiede hegemonial.</w:t>
      </w:r>
      <w:r>
        <w:t xml:space="preserve"> </w:t>
      </w:r>
      <w:r>
        <w:t xml:space="preserve">- Oder lokale Unterschiede sind wirklich respektiert — dann sind Standards nicht universal.</w:t>
      </w:r>
    </w:p>
    <w:p>
      <w:pPr>
        <w:pStyle w:val="BodyText"/>
      </w:pPr>
      <w:r>
        <w:t xml:space="preserve">ISA löst dieses Paradoxon nicht. Stattdessen wird es durch eine</w:t>
      </w:r>
      <w:r>
        <w:t xml:space="preserve"> </w:t>
      </w:r>
      <w:r>
        <w:rPr>
          <w:bCs/>
          <w:b/>
        </w:rPr>
        <w:t xml:space="preserve">Inkoherenz verwaltet</w:t>
      </w:r>
      <w:r>
        <w:t xml:space="preserve">: Die Sprache von Respekt, Diversität und Kontextsensibilität maskiert ein System der epistemischen Dominanz. Die Inkoherenz ist nicht das Problem — sie ist der</w:t>
      </w:r>
      <w:r>
        <w:t xml:space="preserve"> </w:t>
      </w:r>
      <w:r>
        <w:rPr>
          <w:bCs/>
          <w:b/>
        </w:rPr>
        <w:t xml:space="preserve">Mechanismus, durch den Hegemonie unsichtbar bleibt.</w:t>
      </w:r>
    </w:p>
    <w:p>
      <w:pPr>
        <w:pStyle w:val="BodyText"/>
      </w:pPr>
      <w:r>
        <w:t xml:space="preserve">Diese Thesis macht die Inkoherenz zum Rückgrat der Argumentation. Statt ISA als Implementierungsproblem zu behandeln, untersucht sie, wie die Inkoherenz strukturiert, in jedem Kontext unterschiedlich manifestiert und professionelle Kohärenz hegemonial reproduziert.</w:t>
      </w:r>
    </w:p>
    <w:p>
      <w:r>
        <w:pict>
          <v:rect style="width:0;height:1.5pt" o:hralign="center" o:hrstd="t" o:hr="t"/>
        </w:pict>
      </w:r>
    </w:p>
    <w:bookmarkEnd w:id="20"/>
    <w:bookmarkStart w:id="24" w:name="forschungsfragen-restrukturiert"/>
    <w:p>
      <w:pPr>
        <w:pStyle w:val="Heading2"/>
      </w:pPr>
      <w:r>
        <w:t xml:space="preserve">2. Forschungsfragen (Restrukturiert)</w:t>
      </w:r>
    </w:p>
    <w:p>
      <w:pPr>
        <w:pStyle w:val="FirstParagraph"/>
      </w:pPr>
      <w:r>
        <w:t xml:space="preserve">Die drei Forschungsfragen bilden eine argumentative Stufenfolge, die das zentrale Paradoxon entfaltet:</w:t>
      </w:r>
    </w:p>
    <w:bookmarkStart w:id="21" w:name="X69dbf45bce80b53c70a01464ed0d664b0f0993b"/>
    <w:p>
      <w:pPr>
        <w:pStyle w:val="Heading3"/>
      </w:pPr>
      <w:r>
        <w:t xml:space="preserve">FF1: Performative Ebene — Was wird behauptet?</w:t>
      </w:r>
    </w:p>
    <w:p>
      <w:pPr>
        <w:pStyle w:val="FirstParagraph"/>
      </w:pPr>
      <w:r>
        <w:rPr>
          <w:bCs/>
          <w:b/>
        </w:rPr>
        <w:t xml:space="preserve">Welche normativen Richtlinien formulieren die IFSW/IASSW-Dokumente (2004; 2018) für den globalen Bildungsbereich — und welche Annahmen (Universalität, Spezifität) sind darin eingebettet?</w:t>
      </w:r>
    </w:p>
    <w:p>
      <w:pPr>
        <w:pStyle w:val="BodyText"/>
      </w:pPr>
      <w:r>
        <w:t xml:space="preserve">Diese Frage richtet den Blick auf das performative Versprechen: Was wird als universal präsentiert? Was als plural? Wo wird Universalismus behauptet, obwohl spezifische Wissensansprüche vorliegen?</w:t>
      </w:r>
    </w:p>
    <w:bookmarkEnd w:id="21"/>
    <w:bookmarkStart w:id="22" w:name="Xefdf02d37fcadb3b17d250341de18f999b22fdd"/>
    <w:p>
      <w:pPr>
        <w:pStyle w:val="Heading3"/>
      </w:pPr>
      <w:r>
        <w:t xml:space="preserve">FF2: Enactment-Ebene — Wie wird es umgesetzt?</w:t>
      </w:r>
    </w:p>
    <w:p>
      <w:pPr>
        <w:pStyle w:val="FirstParagraph"/>
      </w:pPr>
      <w:r>
        <w:rPr>
          <w:bCs/>
          <w:b/>
        </w:rPr>
        <w:t xml:space="preserve">Wie manifestiert sich das Paradoxon zwischen universal formulierten Standards und lokalen Kontexten in den Bildungssystemen von Neuseeland, der Schweiz und China?</w:t>
      </w:r>
    </w:p>
    <w:p>
      <w:pPr>
        <w:pStyle w:val="BodyText"/>
      </w:pPr>
      <w:r>
        <w:t xml:space="preserve">Diese Frage untersucht die Umsetzungsseite: Wie wird die Inkoherenz in unterschiedlichen Kontexten realisiert? Maskiert sich die Hegemonie in NZ durch Multikulturalismus? Verschwindet sie in der Schweiz durch Alignment? Wird sie in China explizit sichtbar?</w:t>
      </w:r>
    </w:p>
    <w:bookmarkEnd w:id="22"/>
    <w:bookmarkStart w:id="23" w:name="ff3-normative-ebene-was-bedeutet-das"/>
    <w:p>
      <w:pPr>
        <w:pStyle w:val="Heading3"/>
      </w:pPr>
      <w:r>
        <w:t xml:space="preserve">FF3: Normative Ebene — Was bedeutet das?</w:t>
      </w:r>
    </w:p>
    <w:p>
      <w:pPr>
        <w:pStyle w:val="FirstParagraph"/>
      </w:pPr>
      <w:r>
        <w:rPr>
          <w:bCs/>
          <w:b/>
        </w:rPr>
        <w:t xml:space="preserve">Welche Konsequenzen entstehen für professionelle Kohärenz der internationalen Sozialen Arbeit, wenn diese Kohärenz durch hegemoniale Universalisierung statt durch echte Pluralität erreicht wird?</w:t>
      </w:r>
    </w:p>
    <w:p>
      <w:pPr>
        <w:pStyle w:val="BodyText"/>
      </w:pPr>
      <w:r>
        <w:t xml:space="preserve">Diese Frage zielt auf die normative Schlussfolgerung: Ist</w:t>
      </w:r>
      <w:r>
        <w:t xml:space="preserve"> </w:t>
      </w:r>
      <w:r>
        <w:t xml:space="preserve">‘</w:t>
      </w:r>
      <w:r>
        <w:t xml:space="preserve">professionelle Kohärenz</w:t>
      </w:r>
      <w:r>
        <w:t xml:space="preserve">’</w:t>
      </w:r>
      <w:r>
        <w:t xml:space="preserve"> </w:t>
      </w:r>
      <w:r>
        <w:t xml:space="preserve">unter gegenwärtigen Bedingungen gleichbedeutend mit epistemischer Dominanz? Was würde eine nicht-hegemoniale Kohärenz erfordern?</w:t>
      </w:r>
    </w:p>
    <w:p>
      <w:r>
        <w:pict>
          <v:rect style="width:0;height:1.5pt" o:hralign="center" o:hrstd="t" o:hr="t"/>
        </w:pict>
      </w:r>
    </w:p>
    <w:bookmarkEnd w:id="23"/>
    <w:bookmarkEnd w:id="24"/>
    <w:bookmarkStart w:id="30" w:name="theoretischer-rahmen-fünf-schichten"/>
    <w:p>
      <w:pPr>
        <w:pStyle w:val="Heading2"/>
      </w:pPr>
      <w:r>
        <w:t xml:space="preserve">3. Theoretischer Rahmen: Fünf Schichten</w:t>
      </w:r>
    </w:p>
    <w:p>
      <w:pPr>
        <w:pStyle w:val="FirstParagraph"/>
      </w:pPr>
      <w:r>
        <w:t xml:space="preserve">Der theoretische Rahmen erklärt, warum und wie die Inkoherenz zwischen Universalismus- und Pluralitätsanspruch struktural ist und nicht einfach gelöst werden kann.</w:t>
      </w:r>
    </w:p>
    <w:bookmarkStart w:id="25" w:name="gramsci-hegemonie-als-naturalisierung"/>
    <w:p>
      <w:pPr>
        <w:pStyle w:val="Heading3"/>
      </w:pPr>
      <w:r>
        <w:t xml:space="preserve">3.1 Gramsci: Hegemonie als Naturalisierung</w:t>
      </w:r>
    </w:p>
    <w:p>
      <w:pPr>
        <w:pStyle w:val="FirstParagraph"/>
      </w:pPr>
      <w:r>
        <w:rPr>
          <w:bCs/>
          <w:b/>
        </w:rPr>
        <w:t xml:space="preserve">Grundidee:</w:t>
      </w:r>
      <w:r>
        <w:t xml:space="preserve"> </w:t>
      </w:r>
      <w:r>
        <w:t xml:space="preserve">Hegemonie funktioniert nicht durch Zwang, sondern durch Zustimmung. Sie arbeitet durch Naturalisierung eines spezifischen Weltbildes als</w:t>
      </w:r>
      <w:r>
        <w:t xml:space="preserve"> </w:t>
      </w:r>
      <w:r>
        <w:t xml:space="preserve">‘</w:t>
      </w:r>
      <w:r>
        <w:t xml:space="preserve">common sense</w:t>
      </w:r>
      <w:r>
        <w:t xml:space="preserve">’</w:t>
      </w:r>
      <w:r>
        <w:t xml:space="preserve">, sodass es nicht mehr als Wahl erkannt wird.</w:t>
      </w:r>
    </w:p>
    <w:p>
      <w:pPr>
        <w:pStyle w:val="BodyText"/>
      </w:pPr>
      <w:r>
        <w:rPr>
          <w:bCs/>
          <w:b/>
        </w:rPr>
        <w:t xml:space="preserve">Anwendung auf ISA:</w:t>
      </w:r>
      <w:r>
        <w:t xml:space="preserve"> </w:t>
      </w:r>
      <w:r>
        <w:t xml:space="preserve">Die IFSW-Standards werden nicht als</w:t>
      </w:r>
      <w:r>
        <w:t xml:space="preserve"> </w:t>
      </w:r>
      <w:r>
        <w:t xml:space="preserve">‘</w:t>
      </w:r>
      <w:r>
        <w:t xml:space="preserve">westliche Standards</w:t>
      </w:r>
      <w:r>
        <w:t xml:space="preserve">’</w:t>
      </w:r>
      <w:r>
        <w:t xml:space="preserve"> </w:t>
      </w:r>
      <w:r>
        <w:t xml:space="preserve">wahrgenommen, sondern als</w:t>
      </w:r>
      <w:r>
        <w:t xml:space="preserve"> </w:t>
      </w:r>
      <w:r>
        <w:t xml:space="preserve">‘</w:t>
      </w:r>
      <w:r>
        <w:t xml:space="preserve">universale ethische Prinzipien</w:t>
      </w:r>
      <w:r>
        <w:t xml:space="preserve">’</w:t>
      </w:r>
      <w:r>
        <w:t xml:space="preserve">. Diese Naturalisierung ist die Hegemonie selbst. Sie ist unsichtbar, weil sie sich als Objektivität präsentiert.</w:t>
      </w:r>
    </w:p>
    <w:p>
      <w:pPr>
        <w:pStyle w:val="BodyText"/>
      </w:pPr>
      <w:r>
        <w:rPr>
          <w:bCs/>
          <w:b/>
        </w:rPr>
        <w:t xml:space="preserve">Für FF1:</w:t>
      </w:r>
      <w:r>
        <w:t xml:space="preserve"> </w:t>
      </w:r>
      <w:r>
        <w:t xml:space="preserve">Document analysis zeigt, wie universalistische Sprache Spezifität verborgen hält.</w:t>
      </w:r>
      <w:r>
        <w:br/>
      </w:r>
      <w:r>
        <w:rPr>
          <w:bCs/>
          <w:b/>
        </w:rPr>
        <w:t xml:space="preserve">Für FF2:</w:t>
      </w:r>
      <w:r>
        <w:t xml:space="preserve"> </w:t>
      </w:r>
      <w:r>
        <w:t xml:space="preserve">Vergleichende Analyse zeigt, wie diese Naturalisierung in jedem Kontext unterschiedlich funktioniert.</w:t>
      </w:r>
    </w:p>
    <w:p>
      <w:r>
        <w:pict>
          <v:rect style="width:0;height:1.5pt" o:hralign="center" o:hrstd="t" o:hr="t"/>
        </w:pict>
      </w:r>
    </w:p>
    <w:bookmarkEnd w:id="25"/>
    <w:bookmarkStart w:id="26" w:name="X107d1645d36bae374cd8895c0bd1f57497be38d"/>
    <w:p>
      <w:pPr>
        <w:pStyle w:val="Heading3"/>
      </w:pPr>
      <w:r>
        <w:t xml:space="preserve">3.2 Fricker: Epistemische Gerechtigkeit und Glaubwürdigkeitshierarchien</w:t>
      </w:r>
    </w:p>
    <w:p>
      <w:pPr>
        <w:pStyle w:val="FirstParagraph"/>
      </w:pPr>
      <w:r>
        <w:rPr>
          <w:bCs/>
          <w:b/>
        </w:rPr>
        <w:t xml:space="preserve">Grundidee:</w:t>
      </w:r>
      <w:r>
        <w:t xml:space="preserve"> </w:t>
      </w:r>
      <w:r>
        <w:t xml:space="preserve">Epistemische Ungerechtigkeit ist strukturell — manche Stimmen werden gehört, aber nicht als grundlegend geglaubt. Dies ist nicht individueller Bias, sondern systematische Glaubwürdigkeitshierarchie.</w:t>
      </w:r>
    </w:p>
    <w:p>
      <w:pPr>
        <w:pStyle w:val="BodyText"/>
      </w:pPr>
      <w:r>
        <w:rPr>
          <w:bCs/>
          <w:b/>
        </w:rPr>
        <w:t xml:space="preserve">Anwendung auf ISA:</w:t>
      </w:r>
      <w:r>
        <w:t xml:space="preserve"> </w:t>
      </w:r>
      <w:r>
        <w:t xml:space="preserve">Nicht-westliche Wissensformen werden in IFSW-Dokumenten erwähnt (</w:t>
      </w:r>
      <w:r>
        <w:t xml:space="preserve">‘</w:t>
      </w:r>
      <w:r>
        <w:t xml:space="preserve">respektiert</w:t>
      </w:r>
      <w:r>
        <w:t xml:space="preserve">’</w:t>
      </w:r>
      <w:r>
        <w:t xml:space="preserve">), aber nicht als gleich gültige Epistemologien positioniert. Sie können nicht die Grundlagen dessen definieren, was</w:t>
      </w:r>
      <w:r>
        <w:t xml:space="preserve"> </w:t>
      </w:r>
      <w:r>
        <w:t xml:space="preserve">‘</w:t>
      </w:r>
      <w:r>
        <w:t xml:space="preserve">professionell</w:t>
      </w:r>
      <w:r>
        <w:t xml:space="preserve">’</w:t>
      </w:r>
      <w:r>
        <w:t xml:space="preserve"> </w:t>
      </w:r>
      <w:r>
        <w:t xml:space="preserve">heißt.</w:t>
      </w:r>
    </w:p>
    <w:p>
      <w:pPr>
        <w:pStyle w:val="BodyText"/>
      </w:pPr>
      <w:r>
        <w:rPr>
          <w:bCs/>
          <w:b/>
        </w:rPr>
        <w:t xml:space="preserve">Für FF1:</w:t>
      </w:r>
      <w:r>
        <w:t xml:space="preserve"> </w:t>
      </w:r>
      <w:r>
        <w:t xml:space="preserve">Zitationsanalyse zeigt, wessen Wissen als Autorität gilt.</w:t>
      </w:r>
      <w:r>
        <w:br/>
      </w:r>
      <w:r>
        <w:rPr>
          <w:bCs/>
          <w:b/>
        </w:rPr>
        <w:t xml:space="preserve">Für FF2:</w:t>
      </w:r>
      <w:r>
        <w:t xml:space="preserve"> </w:t>
      </w:r>
      <w:r>
        <w:t xml:space="preserve">In jedem Land wird zu sehen sein, wie lokales Wissen testimonial marginalisiert wird.</w:t>
      </w:r>
    </w:p>
    <w:p>
      <w:r>
        <w:pict>
          <v:rect style="width:0;height:1.5pt" o:hralign="center" o:hrstd="t" o:hr="t"/>
        </w:pict>
      </w:r>
    </w:p>
    <w:bookmarkEnd w:id="26"/>
    <w:bookmarkStart w:id="27" w:name="X70eed1077db28868505ac7418b6b08bce610461"/>
    <w:p>
      <w:pPr>
        <w:pStyle w:val="Heading3"/>
      </w:pPr>
      <w:r>
        <w:t xml:space="preserve">3.3 Freire: Pädagogik als Befreiung oder Unterdrückung</w:t>
      </w:r>
    </w:p>
    <w:p>
      <w:pPr>
        <w:pStyle w:val="FirstParagraph"/>
      </w:pPr>
      <w:r>
        <w:rPr>
          <w:bCs/>
          <w:b/>
        </w:rPr>
        <w:t xml:space="preserve">Grundidee:</w:t>
      </w:r>
      <w:r>
        <w:t xml:space="preserve"> </w:t>
      </w:r>
      <w:r>
        <w:t xml:space="preserve">Banking-Modell (Wissen wird deponiert, Student bleibt passiv) vs. Problem-Posing-Modell (Welt wird kritisch gemeinsam untersucht). Das erste reproduziert Unterdrückung, das zweite ermöglicht Befreiung.</w:t>
      </w:r>
    </w:p>
    <w:p>
      <w:pPr>
        <w:pStyle w:val="BodyText"/>
      </w:pPr>
      <w:r>
        <w:rPr>
          <w:bCs/>
          <w:b/>
        </w:rPr>
        <w:t xml:space="preserve">Anwendung auf ISA-Ausbildung:</w:t>
      </w:r>
      <w:r>
        <w:t xml:space="preserve"> </w:t>
      </w:r>
      <w:r>
        <w:t xml:space="preserve">ISA-Curricula funktionieren oft nach dem Banking-Modell: IFSW-Standards werden als Wahrheit deponiert, nicht kritisch hinterfragt. Das reproduziert Unterdrückung durch</w:t>
      </w:r>
      <w:r>
        <w:t xml:space="preserve"> </w:t>
      </w:r>
      <w:r>
        <w:t xml:space="preserve">‘</w:t>
      </w:r>
      <w:r>
        <w:t xml:space="preserve">Professionalisierung</w:t>
      </w:r>
      <w:r>
        <w:t xml:space="preserve">’</w:t>
      </w:r>
      <w:r>
        <w:t xml:space="preserve">.</w:t>
      </w:r>
    </w:p>
    <w:p>
      <w:pPr>
        <w:pStyle w:val="BodyText"/>
      </w:pPr>
      <w:r>
        <w:rPr>
          <w:bCs/>
          <w:b/>
        </w:rPr>
        <w:t xml:space="preserve">Für FF2:</w:t>
      </w:r>
      <w:r>
        <w:t xml:space="preserve"> </w:t>
      </w:r>
      <w:r>
        <w:t xml:space="preserve">Curriculumanalyse zeigt, ob Studierenden gelehrt wird, Standards zu hinterfragen oder zu internalisieren.</w:t>
      </w:r>
    </w:p>
    <w:p>
      <w:r>
        <w:pict>
          <v:rect style="width:0;height:1.5pt" o:hralign="center" o:hrstd="t" o:hr="t"/>
        </w:pict>
      </w:r>
    </w:p>
    <w:bookmarkEnd w:id="27"/>
    <w:bookmarkStart w:id="28" w:name="mignolo-kolonialiät-des-wissens"/>
    <w:p>
      <w:pPr>
        <w:pStyle w:val="Heading3"/>
      </w:pPr>
      <w:r>
        <w:t xml:space="preserve">3.4 Mignolo: Kolonialiät des Wissens</w:t>
      </w:r>
    </w:p>
    <w:p>
      <w:pPr>
        <w:pStyle w:val="FirstParagraph"/>
      </w:pPr>
      <w:r>
        <w:rPr>
          <w:bCs/>
          <w:b/>
        </w:rPr>
        <w:t xml:space="preserve">Grundidee:</w:t>
      </w:r>
      <w:r>
        <w:t xml:space="preserve"> </w:t>
      </w:r>
      <w:r>
        <w:t xml:space="preserve">Kolonialiät (nicht Kolonialismus) ist die persistente epistemische Struktur, in der westliches Wissen als universell behandelt wird, während nicht-westliches Wissen als</w:t>
      </w:r>
      <w:r>
        <w:t xml:space="preserve"> </w:t>
      </w:r>
      <w:r>
        <w:t xml:space="preserve">‘</w:t>
      </w:r>
      <w:r>
        <w:t xml:space="preserve">partikulär</w:t>
      </w:r>
      <w:r>
        <w:t xml:space="preserve">’</w:t>
      </w:r>
      <w:r>
        <w:t xml:space="preserve"> </w:t>
      </w:r>
      <w:r>
        <w:t xml:space="preserve">marginalisiert wird.</w:t>
      </w:r>
    </w:p>
    <w:p>
      <w:pPr>
        <w:pStyle w:val="BodyText"/>
      </w:pPr>
      <w:r>
        <w:rPr>
          <w:bCs/>
          <w:b/>
        </w:rPr>
        <w:t xml:space="preserve">Anwendung auf ISA:</w:t>
      </w:r>
      <w:r>
        <w:t xml:space="preserve"> </w:t>
      </w:r>
      <w:r>
        <w:t xml:space="preserve">ISA reproduziert Kolonialiät: Das westliche Soziale Arbeit-Modell wird universalisiert; nicht-westliche Ansätze werden als</w:t>
      </w:r>
      <w:r>
        <w:t xml:space="preserve"> </w:t>
      </w:r>
      <w:r>
        <w:t xml:space="preserve">‘</w:t>
      </w:r>
      <w:r>
        <w:t xml:space="preserve">lokal</w:t>
      </w:r>
      <w:r>
        <w:t xml:space="preserve">’</w:t>
      </w:r>
      <w:r>
        <w:t xml:space="preserve">,</w:t>
      </w:r>
      <w:r>
        <w:t xml:space="preserve"> </w:t>
      </w:r>
      <w:r>
        <w:t xml:space="preserve">‘</w:t>
      </w:r>
      <w:r>
        <w:t xml:space="preserve">traditionell</w:t>
      </w:r>
      <w:r>
        <w:t xml:space="preserve">’</w:t>
      </w:r>
      <w:r>
        <w:t xml:space="preserve">, oder</w:t>
      </w:r>
      <w:r>
        <w:t xml:space="preserve"> </w:t>
      </w:r>
      <w:r>
        <w:t xml:space="preserve">‘</w:t>
      </w:r>
      <w:r>
        <w:t xml:space="preserve">kulturell</w:t>
      </w:r>
      <w:r>
        <w:t xml:space="preserve">’</w:t>
      </w:r>
      <w:r>
        <w:t xml:space="preserve"> </w:t>
      </w:r>
      <w:r>
        <w:t xml:space="preserve">kategorisiert. Das ist Wissenkolonialisierung durch Professionalisierung.</w:t>
      </w:r>
    </w:p>
    <w:p>
      <w:pPr>
        <w:pStyle w:val="BodyText"/>
      </w:pPr>
      <w:r>
        <w:rPr>
          <w:bCs/>
          <w:b/>
        </w:rPr>
        <w:t xml:space="preserve">Für alle FF:</w:t>
      </w:r>
      <w:r>
        <w:t xml:space="preserve"> </w:t>
      </w:r>
      <w:r>
        <w:t xml:space="preserve">Zeige, wie westliche Kategorisierung (Individualist, autonome Praktiker, evidence-based) als</w:t>
      </w:r>
      <w:r>
        <w:t xml:space="preserve"> </w:t>
      </w:r>
      <w:r>
        <w:t xml:space="preserve">‘</w:t>
      </w:r>
      <w:r>
        <w:t xml:space="preserve">modern</w:t>
      </w:r>
      <w:r>
        <w:t xml:space="preserve">’</w:t>
      </w:r>
      <w:r>
        <w:t xml:space="preserve"> </w:t>
      </w:r>
      <w:r>
        <w:t xml:space="preserve">und</w:t>
      </w:r>
      <w:r>
        <w:t xml:space="preserve"> </w:t>
      </w:r>
      <w:r>
        <w:t xml:space="preserve">‘</w:t>
      </w:r>
      <w:r>
        <w:t xml:space="preserve">professionell</w:t>
      </w:r>
      <w:r>
        <w:t xml:space="preserve">’</w:t>
      </w:r>
      <w:r>
        <w:t xml:space="preserve"> </w:t>
      </w:r>
      <w:r>
        <w:t xml:space="preserve">naturalisiert wird.</w:t>
      </w:r>
    </w:p>
    <w:p>
      <w:r>
        <w:pict>
          <v:rect style="width:0;height:1.5pt" o:hralign="center" o:hrstd="t" o:hr="t"/>
        </w:pict>
      </w:r>
    </w:p>
    <w:bookmarkEnd w:id="28"/>
    <w:bookmarkStart w:id="29" w:name="X752570509afae8ecca91297242ebfd28fd75410"/>
    <w:p>
      <w:pPr>
        <w:pStyle w:val="Heading3"/>
      </w:pPr>
      <w:r>
        <w:t xml:space="preserve">3.5 Fairclough: Kritische Diskursanalyse als Primärmethode</w:t>
      </w:r>
    </w:p>
    <w:p>
      <w:pPr>
        <w:pStyle w:val="FirstParagraph"/>
      </w:pPr>
      <w:r>
        <w:rPr>
          <w:bCs/>
          <w:b/>
        </w:rPr>
        <w:t xml:space="preserve">Grundidee:</w:t>
      </w:r>
      <w:r>
        <w:t xml:space="preserve"> </w:t>
      </w:r>
      <w:r>
        <w:t xml:space="preserve">Macht ist in Sprache und Diskurs eingebettet. Analytisch können drei Ebenen unterschieden werden:</w:t>
      </w:r>
    </w:p>
    <w:p>
      <w:pPr>
        <w:numPr>
          <w:ilvl w:val="0"/>
          <w:numId w:val="1001"/>
        </w:numPr>
        <w:pStyle w:val="Compact"/>
      </w:pPr>
      <w:r>
        <w:rPr>
          <w:bCs/>
          <w:b/>
        </w:rPr>
        <w:t xml:space="preserve">Textebene:</w:t>
      </w:r>
      <w:r>
        <w:t xml:space="preserve"> </w:t>
      </w:r>
      <w:r>
        <w:t xml:space="preserve">Wie wird Sprache strukturiert? Welche Begriffe werden universalisiert? Welche Absences sind bedeutsam?</w:t>
      </w:r>
    </w:p>
    <w:p>
      <w:pPr>
        <w:numPr>
          <w:ilvl w:val="0"/>
          <w:numId w:val="1001"/>
        </w:numPr>
        <w:pStyle w:val="Compact"/>
      </w:pPr>
      <w:r>
        <w:rPr>
          <w:bCs/>
          <w:b/>
        </w:rPr>
        <w:t xml:space="preserve">Diskurspraktiken:</w:t>
      </w:r>
      <w:r>
        <w:t xml:space="preserve"> </w:t>
      </w:r>
      <w:r>
        <w:t xml:space="preserve">Wie werden Dokumente verbreitet, interpretiert, institutionalisiert?</w:t>
      </w:r>
    </w:p>
    <w:p>
      <w:pPr>
        <w:numPr>
          <w:ilvl w:val="0"/>
          <w:numId w:val="1001"/>
        </w:numPr>
        <w:pStyle w:val="Compact"/>
      </w:pPr>
      <w:r>
        <w:rPr>
          <w:bCs/>
          <w:b/>
        </w:rPr>
        <w:t xml:space="preserve">Gesellschaftliche Praktiken:</w:t>
      </w:r>
      <w:r>
        <w:t xml:space="preserve"> </w:t>
      </w:r>
      <w:r>
        <w:t xml:space="preserve">Wie strukturieren diese Diskurse Institutionen, Macht, Hierarchien?</w:t>
      </w:r>
    </w:p>
    <w:p>
      <w:pPr>
        <w:pStyle w:val="FirstParagraph"/>
      </w:pPr>
      <w:r>
        <w:rPr>
          <w:bCs/>
          <w:b/>
        </w:rPr>
        <w:t xml:space="preserve">Anwendung auf ISA:</w:t>
      </w:r>
      <w:r>
        <w:t xml:space="preserve"> </w:t>
      </w:r>
      <w:r>
        <w:t xml:space="preserve">CDA offenbart die Gap zwischen IFSW-Performance (</w:t>
      </w:r>
      <w:r>
        <w:t xml:space="preserve">‘</w:t>
      </w:r>
      <w:r>
        <w:t xml:space="preserve">Universalismus + Pluralismus</w:t>
      </w:r>
      <w:r>
        <w:t xml:space="preserve">’</w:t>
      </w:r>
      <w:r>
        <w:t xml:space="preserve">) und IFSW-Enactment (</w:t>
      </w:r>
      <w:r>
        <w:t xml:space="preserve">‘</w:t>
      </w:r>
      <w:r>
        <w:t xml:space="preserve">hegemoniale Durchsetzung</w:t>
      </w:r>
      <w:r>
        <w:t xml:space="preserve">’</w:t>
      </w:r>
      <w:r>
        <w:t xml:space="preserve">). Diese Gap ist die Inkoherenz.</w:t>
      </w:r>
    </w:p>
    <w:p>
      <w:r>
        <w:pict>
          <v:rect style="width:0;height:1.5pt" o:hralign="center" o:hrstd="t" o:hr="t"/>
        </w:pict>
      </w:r>
    </w:p>
    <w:bookmarkEnd w:id="29"/>
    <w:bookmarkEnd w:id="30"/>
    <w:bookmarkStart w:id="37" w:name="X0025a2cfcf2bc3b2b403ba28343d08d6e16c125"/>
    <w:p>
      <w:pPr>
        <w:pStyle w:val="Heading2"/>
      </w:pPr>
      <w:r>
        <w:t xml:space="preserve">4. Methodologie: Performative Gap-Analyse mit CDA im Kern</w:t>
      </w:r>
    </w:p>
    <w:p>
      <w:pPr>
        <w:pStyle w:val="FirstParagraph"/>
      </w:pPr>
      <w:r>
        <w:t xml:space="preserve">Diese Thesis verwendet</w:t>
      </w:r>
      <w:r>
        <w:t xml:space="preserve"> </w:t>
      </w:r>
      <w:r>
        <w:rPr>
          <w:bCs/>
          <w:b/>
        </w:rPr>
        <w:t xml:space="preserve">Fairclough’s Kritische Diskursanalyse (CDA) als Primärmethode</w:t>
      </w:r>
      <w:r>
        <w:t xml:space="preserve">, angereichert durch die theoretischen Perspektiven von Gramsci, Fricker, Mignolo und Foucault.</w:t>
      </w:r>
    </w:p>
    <w:bookmarkStart w:id="31" w:name="warum-cda"/>
    <w:p>
      <w:pPr>
        <w:pStyle w:val="Heading3"/>
      </w:pPr>
      <w:r>
        <w:t xml:space="preserve">4.1 Warum CDA?</w:t>
      </w:r>
    </w:p>
    <w:p>
      <w:pPr>
        <w:pStyle w:val="FirstParagraph"/>
      </w:pPr>
      <w:r>
        <w:t xml:space="preserve">CDA ist eine etablierte, peer-reviewed Methode zur Analyse von Macht in Sprache und Diskursen. Sie:</w:t>
      </w:r>
      <w:r>
        <w:t xml:space="preserve"> </w:t>
      </w:r>
      <w:r>
        <w:t xml:space="preserve">- Untersucht, wie Ideologien in Sprache eingebettet sind</w:t>
      </w:r>
      <w:r>
        <w:t xml:space="preserve"> </w:t>
      </w:r>
      <w:r>
        <w:t xml:space="preserve">- Verbindet Textanalyse mit Machtanalyse</w:t>
      </w:r>
      <w:r>
        <w:t xml:space="preserve"> </w:t>
      </w:r>
      <w:r>
        <w:t xml:space="preserve">- Ist für policy-Dokumente und institutionelle Texte geeignet</w:t>
      </w:r>
      <w:r>
        <w:t xml:space="preserve"> </w:t>
      </w:r>
      <w:r>
        <w:t xml:space="preserve">- Hat starke methodologische Literatur (Fairclough, van Dijk, Rogers)</w:t>
      </w:r>
    </w:p>
    <w:bookmarkEnd w:id="31"/>
    <w:bookmarkStart w:id="32" w:name="theoretische-erweiterungen"/>
    <w:p>
      <w:pPr>
        <w:pStyle w:val="Heading3"/>
      </w:pPr>
      <w:r>
        <w:t xml:space="preserve">4.2 Theoretische Erweiterungen</w:t>
      </w:r>
    </w:p>
    <w:p>
      <w:pPr>
        <w:pStyle w:val="FirstParagraph"/>
      </w:pPr>
      <w:r>
        <w:t xml:space="preserve">CDA wird durch vier theoretische Schichten erweitert:</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Theorist</w:t>
            </w:r>
          </w:p>
        </w:tc>
        <w:tc>
          <w:tcPr/>
          <w:p>
            <w:pPr>
              <w:pStyle w:val="Compact"/>
              <w:jc w:val="left"/>
            </w:pPr>
            <w:r>
              <w:t xml:space="preserve">Analytische Frage</w:t>
            </w:r>
          </w:p>
        </w:tc>
      </w:tr>
      <w:tr>
        <w:tc>
          <w:tcPr/>
          <w:p>
            <w:pPr>
              <w:pStyle w:val="Compact"/>
              <w:jc w:val="left"/>
            </w:pPr>
            <w:r>
              <w:rPr>
                <w:bCs/>
                <w:b/>
              </w:rPr>
              <w:t xml:space="preserve">Gramsci</w:t>
            </w:r>
          </w:p>
        </w:tc>
        <w:tc>
          <w:tcPr/>
          <w:p>
            <w:pPr>
              <w:pStyle w:val="Compact"/>
              <w:jc w:val="left"/>
            </w:pPr>
            <w:r>
              <w:t xml:space="preserve">Wie werden Standards naturalisiert als</w:t>
            </w:r>
            <w:r>
              <w:t xml:space="preserve"> </w:t>
            </w:r>
            <w:r>
              <w:t xml:space="preserve">‘</w:t>
            </w:r>
            <w:r>
              <w:t xml:space="preserve">common sense</w:t>
            </w:r>
            <w:r>
              <w:t xml:space="preserve">’</w:t>
            </w:r>
            <w:r>
              <w:t xml:space="preserve">?</w:t>
            </w:r>
          </w:p>
        </w:tc>
      </w:tr>
      <w:tr>
        <w:tc>
          <w:tcPr/>
          <w:p>
            <w:pPr>
              <w:pStyle w:val="Compact"/>
              <w:jc w:val="left"/>
            </w:pPr>
            <w:r>
              <w:rPr>
                <w:bCs/>
                <w:b/>
              </w:rPr>
              <w:t xml:space="preserve">Fricker</w:t>
            </w:r>
          </w:p>
        </w:tc>
        <w:tc>
          <w:tcPr/>
          <w:p>
            <w:pPr>
              <w:pStyle w:val="Compact"/>
              <w:jc w:val="left"/>
            </w:pPr>
            <w:r>
              <w:t xml:space="preserve">Wessen Wissen wird als glaubwürdig/grundlegend positioniert?</w:t>
            </w:r>
          </w:p>
        </w:tc>
      </w:tr>
      <w:tr>
        <w:tc>
          <w:tcPr/>
          <w:p>
            <w:pPr>
              <w:pStyle w:val="Compact"/>
              <w:jc w:val="left"/>
            </w:pPr>
            <w:r>
              <w:rPr>
                <w:bCs/>
                <w:b/>
              </w:rPr>
              <w:t xml:space="preserve">Mignolo</w:t>
            </w:r>
          </w:p>
        </w:tc>
        <w:tc>
          <w:tcPr/>
          <w:p>
            <w:pPr>
              <w:pStyle w:val="Compact"/>
              <w:jc w:val="left"/>
            </w:pPr>
            <w:r>
              <w:t xml:space="preserve">Wie wird westliches Wissen universalisiert und nicht-westliches marginalisiert?</w:t>
            </w:r>
          </w:p>
        </w:tc>
      </w:tr>
      <w:tr>
        <w:tc>
          <w:tcPr/>
          <w:p>
            <w:pPr>
              <w:pStyle w:val="Compact"/>
              <w:jc w:val="left"/>
            </w:pPr>
            <w:r>
              <w:rPr>
                <w:bCs/>
                <w:b/>
              </w:rPr>
              <w:t xml:space="preserve">Foucault</w:t>
            </w:r>
            <w:r>
              <w:t xml:space="preserve"> </w:t>
            </w:r>
            <w:r>
              <w:t xml:space="preserve">(genealogisch)</w:t>
            </w:r>
          </w:p>
        </w:tc>
        <w:tc>
          <w:tcPr/>
          <w:p>
            <w:pPr>
              <w:pStyle w:val="Compact"/>
              <w:jc w:val="left"/>
            </w:pPr>
            <w:r>
              <w:t xml:space="preserve">Wie wurde</w:t>
            </w:r>
            <w:r>
              <w:t xml:space="preserve"> </w:t>
            </w:r>
            <w:r>
              <w:t xml:space="preserve">‘</w:t>
            </w:r>
            <w:r>
              <w:t xml:space="preserve">professionell</w:t>
            </w:r>
            <w:r>
              <w:t xml:space="preserve">’</w:t>
            </w:r>
            <w:r>
              <w:t xml:space="preserve"> </w:t>
            </w:r>
            <w:r>
              <w:t xml:space="preserve">historisch konstruiert und naturalisiert?</w:t>
            </w:r>
          </w:p>
        </w:tc>
      </w:tr>
    </w:tbl>
    <w:bookmarkEnd w:id="32"/>
    <w:bookmarkStart w:id="36" w:name="konkrete-analytische-protokolle"/>
    <w:p>
      <w:pPr>
        <w:pStyle w:val="Heading3"/>
      </w:pPr>
      <w:r>
        <w:t xml:space="preserve">4.3 Konkrete Analytische Protokolle</w:t>
      </w:r>
    </w:p>
    <w:bookmarkStart w:id="33" w:name="X5e2f567f7b08962c58b9effccc088c54cf260f9"/>
    <w:p>
      <w:pPr>
        <w:pStyle w:val="Heading4"/>
      </w:pPr>
      <w:r>
        <w:t xml:space="preserve">FF1 — Dokumentenanalyse (IFSW/IASSW-Texte, 2004 &amp; 2018)</w:t>
      </w:r>
    </w:p>
    <w:p>
      <w:pPr>
        <w:pStyle w:val="FirstParagraph"/>
      </w:pPr>
      <w:r>
        <w:rPr>
          <w:bCs/>
          <w:b/>
        </w:rPr>
        <w:t xml:space="preserve">Auswahlkriterien:</w:t>
      </w:r>
      <w:r>
        <w:t xml:space="preserve"> </w:t>
      </w:r>
      <w:r>
        <w:t xml:space="preserve">- IFSW Ethics in Social Work (2004)</w:t>
      </w:r>
      <w:r>
        <w:t xml:space="preserve"> </w:t>
      </w:r>
      <w:r>
        <w:t xml:space="preserve">- IFSW Global Social Work Statement (2018)</w:t>
      </w:r>
      <w:r>
        <w:t xml:space="preserve"> </w:t>
      </w:r>
      <w:r>
        <w:t xml:space="preserve">- Alle IASSW-Stellungnahmen zu Education, wenn vorhanden</w:t>
      </w:r>
    </w:p>
    <w:p>
      <w:pPr>
        <w:pStyle w:val="BodyText"/>
      </w:pPr>
      <w:r>
        <w:rPr>
          <w:bCs/>
          <w:b/>
        </w:rPr>
        <w:t xml:space="preserve">Analytische Schritte:</w:t>
      </w:r>
    </w:p>
    <w:p>
      <w:pPr>
        <w:numPr>
          <w:ilvl w:val="0"/>
          <w:numId w:val="1002"/>
        </w:numPr>
        <w:pStyle w:val="Compact"/>
      </w:pPr>
      <w:r>
        <w:rPr>
          <w:bCs/>
          <w:b/>
        </w:rPr>
        <w:t xml:space="preserve">Explizite Aussagen extrahieren</w:t>
      </w:r>
    </w:p>
    <w:p>
      <w:pPr>
        <w:numPr>
          <w:ilvl w:val="1"/>
          <w:numId w:val="1003"/>
        </w:numPr>
        <w:pStyle w:val="Compact"/>
      </w:pPr>
      <w:r>
        <w:t xml:space="preserve">Alle Passagen markieren, die Bildung, Learning, Professional Development, Standards adressieren</w:t>
      </w:r>
    </w:p>
    <w:p>
      <w:pPr>
        <w:numPr>
          <w:ilvl w:val="1"/>
          <w:numId w:val="1003"/>
        </w:numPr>
        <w:pStyle w:val="Compact"/>
      </w:pPr>
      <w:r>
        <w:t xml:space="preserve">Dokumentieren, was über diese Themen gesagt wird</w:t>
      </w:r>
    </w:p>
    <w:p>
      <w:pPr>
        <w:numPr>
          <w:ilvl w:val="0"/>
          <w:numId w:val="1002"/>
        </w:numPr>
        <w:pStyle w:val="Compact"/>
      </w:pPr>
      <w:r>
        <w:rPr>
          <w:bCs/>
          <w:b/>
        </w:rPr>
        <w:t xml:space="preserve">Semantische Analyse</w:t>
      </w:r>
    </w:p>
    <w:p>
      <w:pPr>
        <w:numPr>
          <w:ilvl w:val="1"/>
          <w:numId w:val="1004"/>
        </w:numPr>
        <w:pStyle w:val="Compact"/>
      </w:pPr>
      <w:r>
        <w:t xml:space="preserve">Welche Begriffe werden als universal vs. plural positioniert?</w:t>
      </w:r>
    </w:p>
    <w:p>
      <w:pPr>
        <w:numPr>
          <w:ilvl w:val="1"/>
          <w:numId w:val="1004"/>
        </w:numPr>
        <w:pStyle w:val="Compact"/>
      </w:pPr>
      <w:r>
        <w:t xml:space="preserve">Red-Code: Universalistische Sprachbewegungen (</w:t>
      </w:r>
      <w:r>
        <w:t xml:space="preserve">“</w:t>
      </w:r>
      <w:r>
        <w:t xml:space="preserve">principles that…</w:t>
      </w:r>
      <w:r>
        <w:t xml:space="preserve">”</w:t>
      </w:r>
      <w:r>
        <w:t xml:space="preserve">,</w:t>
      </w:r>
      <w:r>
        <w:t xml:space="preserve"> </w:t>
      </w:r>
      <w:r>
        <w:t xml:space="preserve">“</w:t>
      </w:r>
      <w:r>
        <w:t xml:space="preserve">all social workers must…</w:t>
      </w:r>
      <w:r>
        <w:t xml:space="preserve">”</w:t>
      </w:r>
      <w:r>
        <w:t xml:space="preserve">)</w:t>
      </w:r>
    </w:p>
    <w:p>
      <w:pPr>
        <w:numPr>
          <w:ilvl w:val="1"/>
          <w:numId w:val="1004"/>
        </w:numPr>
        <w:pStyle w:val="Compact"/>
      </w:pPr>
      <w:r>
        <w:t xml:space="preserve">Blue-Code: Pluralistische Sprachbewegungen (</w:t>
      </w:r>
      <w:r>
        <w:t xml:space="preserve">“</w:t>
      </w:r>
      <w:r>
        <w:t xml:space="preserve">respecting diversity</w:t>
      </w:r>
      <w:r>
        <w:t xml:space="preserve">”</w:t>
      </w:r>
      <w:r>
        <w:t xml:space="preserve">,</w:t>
      </w:r>
      <w:r>
        <w:t xml:space="preserve"> </w:t>
      </w:r>
      <w:r>
        <w:t xml:space="preserve">“</w:t>
      </w:r>
      <w:r>
        <w:t xml:space="preserve">local context</w:t>
      </w:r>
      <w:r>
        <w:t xml:space="preserve">”</w:t>
      </w:r>
      <w:r>
        <w:t xml:space="preserve">,</w:t>
      </w:r>
      <w:r>
        <w:t xml:space="preserve"> </w:t>
      </w:r>
      <w:r>
        <w:t xml:space="preserve">“</w:t>
      </w:r>
      <w:r>
        <w:t xml:space="preserve">cultural sensitivity</w:t>
      </w:r>
      <w:r>
        <w:t xml:space="preserve">”</w:t>
      </w:r>
      <w:r>
        <w:t xml:space="preserve">)</w:t>
      </w:r>
    </w:p>
    <w:p>
      <w:pPr>
        <w:numPr>
          <w:ilvl w:val="1"/>
          <w:numId w:val="1004"/>
        </w:numPr>
        <w:pStyle w:val="Compact"/>
      </w:pPr>
      <w:r>
        <w:t xml:space="preserve">Analyse: Reds sind strukturelle Forderungen; Blues sind Schmuck?</w:t>
      </w:r>
    </w:p>
    <w:p>
      <w:pPr>
        <w:numPr>
          <w:ilvl w:val="0"/>
          <w:numId w:val="1002"/>
        </w:numPr>
        <w:pStyle w:val="Compact"/>
      </w:pPr>
      <w:r>
        <w:rPr>
          <w:bCs/>
          <w:b/>
        </w:rPr>
        <w:t xml:space="preserve">Absences-Analyse</w:t>
      </w:r>
    </w:p>
    <w:p>
      <w:pPr>
        <w:numPr>
          <w:ilvl w:val="1"/>
          <w:numId w:val="1005"/>
        </w:numPr>
        <w:pStyle w:val="Compact"/>
      </w:pPr>
      <w:r>
        <w:t xml:space="preserve">Was wird NICHT gesagt?</w:t>
      </w:r>
    </w:p>
    <w:p>
      <w:pPr>
        <w:numPr>
          <w:ilvl w:val="1"/>
          <w:numId w:val="1005"/>
        </w:numPr>
        <w:pStyle w:val="Compact"/>
      </w:pPr>
      <w:r>
        <w:t xml:space="preserve">Welche Probleme werden nicht benannt?</w:t>
      </w:r>
    </w:p>
    <w:p>
      <w:pPr>
        <w:numPr>
          <w:ilvl w:val="1"/>
          <w:numId w:val="1005"/>
        </w:numPr>
        <w:pStyle w:val="Compact"/>
      </w:pPr>
      <w:r>
        <w:t xml:space="preserve">Welche Fragen können unter diesem Framework nicht gestellt werden?</w:t>
      </w:r>
    </w:p>
    <w:p>
      <w:pPr>
        <w:numPr>
          <w:ilvl w:val="1"/>
          <w:numId w:val="1005"/>
        </w:numPr>
        <w:pStyle w:val="Compact"/>
      </w:pPr>
      <w:r>
        <w:t xml:space="preserve">Beispiel: Keine Diskussion, wie professionelle Standards in autorititären Systemen funktionieren können</w:t>
      </w:r>
    </w:p>
    <w:p>
      <w:pPr>
        <w:numPr>
          <w:ilvl w:val="0"/>
          <w:numId w:val="1002"/>
        </w:numPr>
        <w:pStyle w:val="Compact"/>
      </w:pPr>
      <w:r>
        <w:rPr>
          <w:bCs/>
          <w:b/>
        </w:rPr>
        <w:t xml:space="preserve">Power-Analyse</w:t>
      </w:r>
    </w:p>
    <w:p>
      <w:pPr>
        <w:numPr>
          <w:ilvl w:val="1"/>
          <w:numId w:val="1006"/>
        </w:numPr>
        <w:pStyle w:val="Compact"/>
      </w:pPr>
      <w:r>
        <w:t xml:space="preserve">Zitationsanalyse: Wer wird als Autorität zitiert? (Global North oder vielfältig?)</w:t>
      </w:r>
    </w:p>
    <w:p>
      <w:pPr>
        <w:numPr>
          <w:ilvl w:val="1"/>
          <w:numId w:val="1006"/>
        </w:numPr>
        <w:pStyle w:val="Compact"/>
      </w:pPr>
      <w:r>
        <w:t xml:space="preserve">Sprachliche Analyse: Welche Sprachen werden anerkannt? (English dominates)</w:t>
      </w:r>
    </w:p>
    <w:p>
      <w:pPr>
        <w:numPr>
          <w:ilvl w:val="1"/>
          <w:numId w:val="1006"/>
        </w:numPr>
        <w:pStyle w:val="Compact"/>
      </w:pPr>
      <w:r>
        <w:t xml:space="preserve">Autorenanalyse: Wer hat das Dokument geschrieben? (IFSW Boards, Global North overrepresented)</w:t>
      </w:r>
    </w:p>
    <w:p>
      <w:pPr>
        <w:pStyle w:val="FirstParagraph"/>
      </w:pPr>
      <w:r>
        <w:rPr>
          <w:bCs/>
          <w:b/>
        </w:rPr>
        <w:t xml:space="preserve">Output:</w:t>
      </w:r>
      <w:r>
        <w:t xml:space="preserve"> </w:t>
      </w:r>
      <w:r>
        <w:t xml:space="preserve">Ein detailliertes Verständnis dessen, wie IFSW-Dokumente universal</w:t>
      </w:r>
      <w:r>
        <w:t xml:space="preserve"> </w:t>
      </w:r>
      <w:r>
        <w:rPr>
          <w:iCs/>
          <w:i/>
        </w:rPr>
        <w:t xml:space="preserve">performieren</w:t>
      </w:r>
      <w:r>
        <w:t xml:space="preserve">, während sie spezifisch</w:t>
      </w:r>
      <w:r>
        <w:t xml:space="preserve"> </w:t>
      </w:r>
      <w:r>
        <w:rPr>
          <w:iCs/>
          <w:i/>
        </w:rPr>
        <w:t xml:space="preserve">enacten</w:t>
      </w:r>
      <w:r>
        <w:t xml:space="preserve">.</w:t>
      </w:r>
    </w:p>
    <w:p>
      <w:r>
        <w:pict>
          <v:rect style="width:0;height:1.5pt" o:hralign="center" o:hrstd="t" o:hr="t"/>
        </w:pict>
      </w:r>
    </w:p>
    <w:bookmarkEnd w:id="33"/>
    <w:bookmarkStart w:id="34" w:name="Xf5eddc93fe5b157727adbe76da7b00e5eb265c8"/>
    <w:p>
      <w:pPr>
        <w:pStyle w:val="Heading4"/>
      </w:pPr>
      <w:r>
        <w:t xml:space="preserve">FF2 — Vergleichende Strukturanalyse (NZ, Schweiz, China)</w:t>
      </w:r>
    </w:p>
    <w:p>
      <w:pPr>
        <w:pStyle w:val="FirstParagraph"/>
      </w:pPr>
      <w:r>
        <w:rPr>
          <w:bCs/>
          <w:b/>
        </w:rPr>
        <w:t xml:space="preserve">Dokumentenmaterial pro Land:</w:t>
      </w:r>
      <w:r>
        <w:t xml:space="preserve"> </w:t>
      </w:r>
      <w:r>
        <w:t xml:space="preserve">- Government policies on social work education &amp; practice</w:t>
      </w:r>
      <w:r>
        <w:t xml:space="preserve"> </w:t>
      </w:r>
      <w:r>
        <w:t xml:space="preserve">- University curriculum documents (mindestens 3 Programme)</w:t>
      </w:r>
      <w:r>
        <w:t xml:space="preserve"> </w:t>
      </w:r>
      <w:r>
        <w:t xml:space="preserve">- Professional association standards/codes</w:t>
      </w:r>
      <w:r>
        <w:t xml:space="preserve"> </w:t>
      </w:r>
      <w:r>
        <w:t xml:space="preserve">- Interview data (wenn möglich)</w:t>
      </w:r>
    </w:p>
    <w:p>
      <w:pPr>
        <w:pStyle w:val="BodyText"/>
      </w:pPr>
      <w:r>
        <w:rPr>
          <w:bCs/>
          <w:b/>
        </w:rPr>
        <w:t xml:space="preserve">Analytische Schritte:</w:t>
      </w:r>
    </w:p>
    <w:p>
      <w:pPr>
        <w:numPr>
          <w:ilvl w:val="0"/>
          <w:numId w:val="1007"/>
        </w:numPr>
        <w:pStyle w:val="Compact"/>
      </w:pPr>
      <w:r>
        <w:rPr>
          <w:bCs/>
          <w:b/>
        </w:rPr>
        <w:t xml:space="preserve">Performance-Mapping</w:t>
      </w:r>
    </w:p>
    <w:p>
      <w:pPr>
        <w:numPr>
          <w:ilvl w:val="1"/>
          <w:numId w:val="1008"/>
        </w:numPr>
        <w:pStyle w:val="Compact"/>
      </w:pPr>
      <w:r>
        <w:t xml:space="preserve">Was wird in jedem Land über Standards, Diversität, Professionalisierung behauptet?</w:t>
      </w:r>
    </w:p>
    <w:p>
      <w:pPr>
        <w:numPr>
          <w:ilvl w:val="1"/>
          <w:numId w:val="1008"/>
        </w:numPr>
        <w:pStyle w:val="Compact"/>
      </w:pPr>
      <w:r>
        <w:t xml:space="preserve">Extrahieren aus Policy, Curriculum-Describers, Missionen</w:t>
      </w:r>
    </w:p>
    <w:p>
      <w:pPr>
        <w:numPr>
          <w:ilvl w:val="1"/>
          <w:numId w:val="1008"/>
        </w:numPr>
        <w:pStyle w:val="Compact"/>
      </w:pPr>
      <w:r>
        <w:t xml:space="preserve">Erstellen Sie eine Vergleichsmatrix</w:t>
      </w:r>
    </w:p>
    <w:p>
      <w:pPr>
        <w:numPr>
          <w:ilvl w:val="0"/>
          <w:numId w:val="1007"/>
        </w:numPr>
        <w:pStyle w:val="Compact"/>
      </w:pPr>
      <w:r>
        <w:rPr>
          <w:bCs/>
          <w:b/>
        </w:rPr>
        <w:t xml:space="preserve">Enactment-Mapping</w:t>
      </w:r>
    </w:p>
    <w:p>
      <w:pPr>
        <w:numPr>
          <w:ilvl w:val="1"/>
          <w:numId w:val="1009"/>
        </w:numPr>
        <w:pStyle w:val="Compact"/>
      </w:pPr>
      <w:r>
        <w:t xml:space="preserve">Welcher Prozentsatz des Curriculums ist IFSW-basiert vs. lokal entwickelt?</w:t>
      </w:r>
    </w:p>
    <w:p>
      <w:pPr>
        <w:numPr>
          <w:ilvl w:val="1"/>
          <w:numId w:val="1009"/>
        </w:numPr>
        <w:pStyle w:val="Compact"/>
      </w:pPr>
      <w:r>
        <w:t xml:space="preserve">Wer hat Autorität über Standardsetzung? (IFSW boards, lokale Universitäten, Staat?)</w:t>
      </w:r>
    </w:p>
    <w:p>
      <w:pPr>
        <w:numPr>
          <w:ilvl w:val="1"/>
          <w:numId w:val="1009"/>
        </w:numPr>
        <w:pStyle w:val="Compact"/>
      </w:pPr>
      <w:r>
        <w:t xml:space="preserve">Können lokale Praktiker Standards modifizieren, oder müssen sie konformieren?</w:t>
      </w:r>
    </w:p>
    <w:p>
      <w:pPr>
        <w:numPr>
          <w:ilvl w:val="0"/>
          <w:numId w:val="1007"/>
        </w:numPr>
        <w:pStyle w:val="Compact"/>
      </w:pPr>
      <w:r>
        <w:rPr>
          <w:bCs/>
          <w:b/>
        </w:rPr>
        <w:t xml:space="preserve">Gap-Analyse</w:t>
      </w:r>
    </w:p>
    <w:p>
      <w:pPr>
        <w:numPr>
          <w:ilvl w:val="1"/>
          <w:numId w:val="1010"/>
        </w:numPr>
        <w:pStyle w:val="Compact"/>
      </w:pPr>
      <w:r>
        <w:t xml:space="preserve">Wo divergieren Performance und Enactment?</w:t>
      </w:r>
    </w:p>
    <w:p>
      <w:pPr>
        <w:numPr>
          <w:ilvl w:val="1"/>
          <w:numId w:val="1010"/>
        </w:numPr>
        <w:pStyle w:val="Compact"/>
      </w:pPr>
      <w:r>
        <w:t xml:space="preserve">Was offenbaren die Lücken über versteckte Strukturen?</w:t>
      </w:r>
    </w:p>
    <w:p>
      <w:pPr>
        <w:numPr>
          <w:ilvl w:val="0"/>
          <w:numId w:val="1007"/>
        </w:numPr>
        <w:pStyle w:val="Compact"/>
      </w:pPr>
      <w:r>
        <w:rPr>
          <w:bCs/>
          <w:b/>
        </w:rPr>
        <w:t xml:space="preserve">Hegemonie-Analyse (pro Land)</w:t>
      </w:r>
    </w:p>
    <w:p>
      <w:pPr>
        <w:numPr>
          <w:ilvl w:val="1"/>
          <w:numId w:val="1011"/>
        </w:numPr>
        <w:pStyle w:val="Compact"/>
      </w:pPr>
      <w:r>
        <w:rPr>
          <w:bCs/>
          <w:b/>
        </w:rPr>
        <w:t xml:space="preserve">NZ:</w:t>
      </w:r>
      <w:r>
        <w:t xml:space="preserve"> </w:t>
      </w:r>
      <w:r>
        <w:t xml:space="preserve">Symbolische Dekolonialisierung (Māori voices sind gehört) aber epistemische Inkoherenz (Māori Frameworks sind nicht grundlegend)</w:t>
      </w:r>
    </w:p>
    <w:p>
      <w:pPr>
        <w:numPr>
          <w:ilvl w:val="1"/>
          <w:numId w:val="1011"/>
        </w:numPr>
        <w:pStyle w:val="Compact"/>
      </w:pPr>
      <w:r>
        <w:rPr>
          <w:bCs/>
          <w:b/>
        </w:rPr>
        <w:t xml:space="preserve">Schweiz:</w:t>
      </w:r>
      <w:r>
        <w:t xml:space="preserve"> </w:t>
      </w:r>
      <w:r>
        <w:t xml:space="preserve">Seamless alignment (Standards passen, also keine sichtbare Inkoherenz), aber dies verhindert Kritik</w:t>
      </w:r>
    </w:p>
    <w:p>
      <w:pPr>
        <w:numPr>
          <w:ilvl w:val="1"/>
          <w:numId w:val="1011"/>
        </w:numPr>
        <w:pStyle w:val="Compact"/>
      </w:pPr>
      <w:r>
        <w:rPr>
          <w:bCs/>
          <w:b/>
        </w:rPr>
        <w:t xml:space="preserve">China:</w:t>
      </w:r>
      <w:r>
        <w:t xml:space="preserve"> </w:t>
      </w:r>
      <w:r>
        <w:t xml:space="preserve">Explizite Inkoherenz (Standards sagen Autonomie, System verlangt Gehorsam)</w:t>
      </w:r>
    </w:p>
    <w:p>
      <w:pPr>
        <w:pStyle w:val="FirstParagraph"/>
      </w:pPr>
      <w:r>
        <w:rPr>
          <w:bCs/>
          <w:b/>
        </w:rPr>
        <w:t xml:space="preserve">Output:</w:t>
      </w:r>
      <w:r>
        <w:t xml:space="preserve"> </w:t>
      </w:r>
      <w:r>
        <w:t xml:space="preserve">Drei case studies, die alle die gleiche strukturale Inkoherenz zeigen, aber in unterschiedlichen Formen.</w:t>
      </w:r>
    </w:p>
    <w:p>
      <w:r>
        <w:pict>
          <v:rect style="width:0;height:1.5pt" o:hralign="center" o:hrstd="t" o:hr="t"/>
        </w:pict>
      </w:r>
    </w:p>
    <w:bookmarkEnd w:id="34"/>
    <w:bookmarkStart w:id="35" w:name="X746158a976dd047d71fea00697b9656af7bd80d"/>
    <w:p>
      <w:pPr>
        <w:pStyle w:val="Heading4"/>
      </w:pPr>
      <w:r>
        <w:t xml:space="preserve">FF3 — Hegemoniale Kohärenz-Analyse (Spannungsfelder)</w:t>
      </w:r>
    </w:p>
    <w:p>
      <w:pPr>
        <w:pStyle w:val="FirstParagraph"/>
      </w:pPr>
      <w:r>
        <w:t xml:space="preserve">Für jedes der vier Spannungsfelder führen Sie eine 3-teilige Analyse durch:</w:t>
      </w:r>
    </w:p>
    <w:p>
      <w:pPr>
        <w:pStyle w:val="BodyText"/>
      </w:pPr>
      <w:r>
        <w:rPr>
          <w:bCs/>
          <w:b/>
        </w:rPr>
        <w:t xml:space="preserve">Teil A: Gramscian Analysis</w:t>
      </w:r>
      <w:r>
        <w:t xml:space="preserve"> </w:t>
      </w:r>
      <w:r>
        <w:t xml:space="preserve">- Was macht einen Pol (z.B. Universalismus) naturalisiert und unsichtbar?</w:t>
      </w:r>
      <w:r>
        <w:t xml:space="preserve"> </w:t>
      </w:r>
      <w:r>
        <w:t xml:space="preserve">- Welche institutionalen Prozesse naturalisieren ihn?</w:t>
      </w:r>
      <w:r>
        <w:t xml:space="preserve"> </w:t>
      </w:r>
      <w:r>
        <w:t xml:space="preserve">- Wie wird er in IFSW-Dokumenten präsentiert, in lokalen Policies, in Universitäten?</w:t>
      </w:r>
    </w:p>
    <w:p>
      <w:pPr>
        <w:pStyle w:val="BodyText"/>
      </w:pPr>
      <w:r>
        <w:rPr>
          <w:bCs/>
          <w:b/>
        </w:rPr>
        <w:t xml:space="preserve">Teil B: Frickerian Analysis</w:t>
      </w:r>
      <w:r>
        <w:t xml:space="preserve"> </w:t>
      </w:r>
      <w:r>
        <w:t xml:space="preserve">- Wessen Wissen ist epistemisch marginalisiert?</w:t>
      </w:r>
      <w:r>
        <w:t xml:space="preserve"> </w:t>
      </w:r>
      <w:r>
        <w:t xml:space="preserve">- Wer hat Glaubwürdigkeit, Standards zu definieren?</w:t>
      </w:r>
      <w:r>
        <w:t xml:space="preserve"> </w:t>
      </w:r>
      <w:r>
        <w:t xml:space="preserve">- Was wird gehört, aber nicht geglaubt als Autorität?</w:t>
      </w:r>
    </w:p>
    <w:p>
      <w:pPr>
        <w:pStyle w:val="BodyText"/>
      </w:pPr>
      <w:r>
        <w:rPr>
          <w:bCs/>
          <w:b/>
        </w:rPr>
        <w:t xml:space="preserve">Teil C: Mignoloian Analysis</w:t>
      </w:r>
      <w:r>
        <w:t xml:space="preserve"> </w:t>
      </w:r>
      <w:r>
        <w:t xml:space="preserve">- Wie ist eine Wissensh</w:t>
      </w:r>
    </w:p>
    <w:p>
      <w:pPr>
        <w:pStyle w:val="BodyText"/>
      </w:pPr>
      <w:r>
        <w:t xml:space="preserve">ierarchie strukturiert?</w:t>
      </w:r>
      <w:r>
        <w:t xml:space="preserve"> </w:t>
      </w:r>
      <w:r>
        <w:t xml:space="preserve">- Was wird als</w:t>
      </w:r>
      <w:r>
        <w:t xml:space="preserve"> </w:t>
      </w:r>
      <w:r>
        <w:t xml:space="preserve">“</w:t>
      </w:r>
      <w:r>
        <w:t xml:space="preserve">wissenschaftlich/professionell</w:t>
      </w:r>
      <w:r>
        <w:t xml:space="preserve">”</w:t>
      </w:r>
      <w:r>
        <w:t xml:space="preserve"> </w:t>
      </w:r>
      <w:r>
        <w:t xml:space="preserve">vs. </w:t>
      </w:r>
      <w:r>
        <w:t xml:space="preserve">“</w:t>
      </w:r>
      <w:r>
        <w:t xml:space="preserve">traditionell/kulturell</w:t>
      </w:r>
      <w:r>
        <w:t xml:space="preserve">”</w:t>
      </w:r>
      <w:r>
        <w:t xml:space="preserve"> </w:t>
      </w:r>
      <w:r>
        <w:t xml:space="preserve">kategorisiert?</w:t>
      </w:r>
      <w:r>
        <w:t xml:space="preserve"> </w:t>
      </w:r>
      <w:r>
        <w:t xml:space="preserve">- Wie reproduziert diese Kategorisierung Kolonialiät?</w:t>
      </w:r>
    </w:p>
    <w:p>
      <w:pPr>
        <w:pStyle w:val="BodyText"/>
      </w:pPr>
      <w:r>
        <w:rPr>
          <w:bCs/>
          <w:b/>
        </w:rPr>
        <w:t xml:space="preserve">Output pro Spannung:</w:t>
      </w:r>
      <w:r>
        <w:t xml:space="preserve"> </w:t>
      </w:r>
      <w:r>
        <w:t xml:space="preserve">Zeige, dass jede Spannung das</w:t>
      </w:r>
      <w:r>
        <w:t xml:space="preserve"> </w:t>
      </w:r>
      <w:r>
        <w:rPr>
          <w:bCs/>
          <w:b/>
        </w:rPr>
        <w:t xml:space="preserve">gleiche strukturale Paradoxon ausdrückt</w:t>
      </w:r>
      <w:r>
        <w:t xml:space="preserve">: Universalismus kann lokale Differenz nicht echte respektieren; Kohärenz durch Hegemonie ist keine Kohärenz.</w:t>
      </w:r>
    </w:p>
    <w:p>
      <w:r>
        <w:pict>
          <v:rect style="width:0;height:1.5pt" o:hralign="center" o:hrstd="t" o:hr="t"/>
        </w:pict>
      </w:r>
    </w:p>
    <w:bookmarkEnd w:id="35"/>
    <w:bookmarkEnd w:id="36"/>
    <w:bookmarkEnd w:id="37"/>
    <w:bookmarkStart w:id="42" w:name="die-vier-zentralen-spannungsfelder"/>
    <w:p>
      <w:pPr>
        <w:pStyle w:val="Heading2"/>
      </w:pPr>
      <w:r>
        <w:t xml:space="preserve">5. Die vier zentralen Spannungsfelder</w:t>
      </w:r>
    </w:p>
    <w:bookmarkStart w:id="38" w:name="Xeee894af486f80a8cc2c3c691c6728e176b6346"/>
    <w:p>
      <w:pPr>
        <w:pStyle w:val="Heading3"/>
      </w:pPr>
      <w:r>
        <w:t xml:space="preserve">5.1 Global/Lokal: Universale Ansprüche vs. Lokale Differenz</w:t>
      </w:r>
    </w:p>
    <w:p>
      <w:pPr>
        <w:pStyle w:val="FirstParagraph"/>
      </w:pPr>
      <w:r>
        <w:rPr>
          <w:bCs/>
          <w:b/>
        </w:rPr>
        <w:t xml:space="preserve">Die Spannung:</w:t>
      </w:r>
      <w:r>
        <w:t xml:space="preserve"> </w:t>
      </w:r>
      <w:r>
        <w:t xml:space="preserve">Universale Standards können echte lokale Unterschiede nicht accommodieren. Der Universalismus gewinnt — das ist Hegemonie.</w:t>
      </w:r>
    </w:p>
    <w:p>
      <w:pPr>
        <w:pStyle w:val="BodyText"/>
      </w:pPr>
      <w:r>
        <w:rPr>
          <w:bCs/>
          <w:b/>
        </w:rPr>
        <w:t xml:space="preserve">Tiefe (Gramscian):</w:t>
      </w:r>
      <w:r>
        <w:t xml:space="preserve"> </w:t>
      </w:r>
      <w:r>
        <w:t xml:space="preserve">Der Universalismus ist naturalisiert als</w:t>
      </w:r>
      <w:r>
        <w:t xml:space="preserve"> </w:t>
      </w:r>
      <w:r>
        <w:t xml:space="preserve">‘</w:t>
      </w:r>
      <w:r>
        <w:t xml:space="preserve">professionell</w:t>
      </w:r>
      <w:r>
        <w:t xml:space="preserve">’</w:t>
      </w:r>
      <w:r>
        <w:t xml:space="preserve">,</w:t>
      </w:r>
      <w:r>
        <w:t xml:space="preserve"> </w:t>
      </w:r>
      <w:r>
        <w:t xml:space="preserve">‘</w:t>
      </w:r>
      <w:r>
        <w:t xml:space="preserve">ethisch</w:t>
      </w:r>
      <w:r>
        <w:t xml:space="preserve">’</w:t>
      </w:r>
      <w:r>
        <w:t xml:space="preserve">,</w:t>
      </w:r>
      <w:r>
        <w:t xml:space="preserve"> </w:t>
      </w:r>
      <w:r>
        <w:t xml:space="preserve">‘</w:t>
      </w:r>
      <w:r>
        <w:t xml:space="preserve">objektiv</w:t>
      </w:r>
      <w:r>
        <w:t xml:space="preserve">’</w:t>
      </w:r>
      <w:r>
        <w:t xml:space="preserve">. Das Lokale wird positioniert als</w:t>
      </w:r>
      <w:r>
        <w:t xml:space="preserve"> </w:t>
      </w:r>
      <w:r>
        <w:t xml:space="preserve">‘</w:t>
      </w:r>
      <w:r>
        <w:t xml:space="preserve">kulturell</w:t>
      </w:r>
      <w:r>
        <w:t xml:space="preserve">’</w:t>
      </w:r>
      <w:r>
        <w:t xml:space="preserve">,</w:t>
      </w:r>
      <w:r>
        <w:t xml:space="preserve"> </w:t>
      </w:r>
      <w:r>
        <w:t xml:space="preserve">‘</w:t>
      </w:r>
      <w:r>
        <w:t xml:space="preserve">traditionell</w:t>
      </w:r>
      <w:r>
        <w:t xml:space="preserve">’</w:t>
      </w:r>
      <w:r>
        <w:t xml:space="preserve">,</w:t>
      </w:r>
      <w:r>
        <w:t xml:space="preserve"> </w:t>
      </w:r>
      <w:r>
        <w:t xml:space="preserve">‘</w:t>
      </w:r>
      <w:r>
        <w:t xml:space="preserve">partikulär</w:t>
      </w:r>
      <w:r>
        <w:t xml:space="preserve">’</w:t>
      </w:r>
      <w:r>
        <w:t xml:space="preserve">.</w:t>
      </w:r>
    </w:p>
    <w:p>
      <w:pPr>
        <w:pStyle w:val="BodyText"/>
      </w:pPr>
      <w:r>
        <w:rPr>
          <w:bCs/>
          <w:b/>
        </w:rPr>
        <w:t xml:space="preserve">Tiefe (Fricker):</w:t>
      </w:r>
      <w:r>
        <w:t xml:space="preserve"> </w:t>
      </w:r>
      <w:r>
        <w:t xml:space="preserve">Lokales Wissen wird gehört (</w:t>
      </w:r>
      <w:r>
        <w:t xml:space="preserve">‘</w:t>
      </w:r>
      <w:r>
        <w:t xml:space="preserve">wir respektieren lokale Kontexte</w:t>
      </w:r>
      <w:r>
        <w:t xml:space="preserve">’</w:t>
      </w:r>
      <w:r>
        <w:t xml:space="preserve">), aber nicht als gleich gültige Epistemologie glaubt, nicht als Autorität für das, was</w:t>
      </w:r>
      <w:r>
        <w:t xml:space="preserve"> </w:t>
      </w:r>
      <w:r>
        <w:t xml:space="preserve">‘</w:t>
      </w:r>
      <w:r>
        <w:t xml:space="preserve">Standard</w:t>
      </w:r>
      <w:r>
        <w:t xml:space="preserve">’</w:t>
      </w:r>
      <w:r>
        <w:t xml:space="preserve"> </w:t>
      </w:r>
      <w:r>
        <w:t xml:space="preserve">bedeuten soll.</w:t>
      </w:r>
    </w:p>
    <w:bookmarkEnd w:id="38"/>
    <w:bookmarkStart w:id="39" w:name="X1a63f404b4bc7a2634e8008e8e2a42a884aa932"/>
    <w:p>
      <w:pPr>
        <w:pStyle w:val="Heading3"/>
      </w:pPr>
      <w:r>
        <w:t xml:space="preserve">5.2 Individual/Kollektiv: Individualisierung vs. Wohlfahrt der Gemeinschaft</w:t>
      </w:r>
    </w:p>
    <w:p>
      <w:pPr>
        <w:pStyle w:val="FirstParagraph"/>
      </w:pPr>
      <w:r>
        <w:rPr>
          <w:bCs/>
          <w:b/>
        </w:rPr>
        <w:t xml:space="preserve">Die Spannung:</w:t>
      </w:r>
      <w:r>
        <w:t xml:space="preserve"> </w:t>
      </w:r>
      <w:r>
        <w:t xml:space="preserve">IFSW privilegiert Individualismus (self-determination, autonomy). Diesen als universell zu präsentieren, während kollektivistische Frameworks als</w:t>
      </w:r>
      <w:r>
        <w:t xml:space="preserve"> </w:t>
      </w:r>
      <w:r>
        <w:t xml:space="preserve">‘</w:t>
      </w:r>
      <w:r>
        <w:t xml:space="preserve">kulturell</w:t>
      </w:r>
      <w:r>
        <w:t xml:space="preserve">’</w:t>
      </w:r>
      <w:r>
        <w:t xml:space="preserve"> </w:t>
      </w:r>
      <w:r>
        <w:t xml:space="preserve">marginalisiert werden, ist Kolonialiät.</w:t>
      </w:r>
    </w:p>
    <w:p>
      <w:pPr>
        <w:pStyle w:val="BodyText"/>
      </w:pPr>
      <w:r>
        <w:rPr>
          <w:bCs/>
          <w:b/>
        </w:rPr>
        <w:t xml:space="preserve">Tiefe (Mignolo):</w:t>
      </w:r>
      <w:r>
        <w:t xml:space="preserve"> </w:t>
      </w:r>
      <w:r>
        <w:t xml:space="preserve">Individualismus wird als</w:t>
      </w:r>
      <w:r>
        <w:t xml:space="preserve"> </w:t>
      </w:r>
      <w:r>
        <w:t xml:space="preserve">‘</w:t>
      </w:r>
      <w:r>
        <w:t xml:space="preserve">modern</w:t>
      </w:r>
      <w:r>
        <w:t xml:space="preserve">’</w:t>
      </w:r>
      <w:r>
        <w:t xml:space="preserve">,</w:t>
      </w:r>
      <w:r>
        <w:t xml:space="preserve"> </w:t>
      </w:r>
      <w:r>
        <w:t xml:space="preserve">‘</w:t>
      </w:r>
      <w:r>
        <w:t xml:space="preserve">professionell</w:t>
      </w:r>
      <w:r>
        <w:t xml:space="preserve">’</w:t>
      </w:r>
      <w:r>
        <w:t xml:space="preserve">; Kollektivismus als</w:t>
      </w:r>
      <w:r>
        <w:t xml:space="preserve"> </w:t>
      </w:r>
      <w:r>
        <w:t xml:space="preserve">‘</w:t>
      </w:r>
      <w:r>
        <w:t xml:space="preserve">traditionell</w:t>
      </w:r>
      <w:r>
        <w:t xml:space="preserve">’</w:t>
      </w:r>
      <w:r>
        <w:t xml:space="preserve">,</w:t>
      </w:r>
      <w:r>
        <w:t xml:space="preserve"> </w:t>
      </w:r>
      <w:r>
        <w:t xml:space="preserve">‘</w:t>
      </w:r>
      <w:r>
        <w:t xml:space="preserve">nicht-entwickelt</w:t>
      </w:r>
      <w:r>
        <w:t xml:space="preserve">’</w:t>
      </w:r>
      <w:r>
        <w:t xml:space="preserve"> </w:t>
      </w:r>
      <w:r>
        <w:t xml:space="preserve">kategorisiert. Das reproduziert die Wissenshierarchie der Kolonialität.</w:t>
      </w:r>
    </w:p>
    <w:bookmarkEnd w:id="39"/>
    <w:bookmarkStart w:id="40" w:name="X58bfc700c271e5c2d33080fd94bbd3bc7b9ac5a"/>
    <w:p>
      <w:pPr>
        <w:pStyle w:val="Heading3"/>
      </w:pPr>
      <w:r>
        <w:t xml:space="preserve">5.3 Professionalisierung/Dekolonisierung: Moderne Standards vs. Lokale Wissenssysteme</w:t>
      </w:r>
    </w:p>
    <w:p>
      <w:pPr>
        <w:pStyle w:val="FirstParagraph"/>
      </w:pPr>
      <w:r>
        <w:rPr>
          <w:bCs/>
          <w:b/>
        </w:rPr>
        <w:t xml:space="preserve">Die Spannung:</w:t>
      </w:r>
      <w:r>
        <w:t xml:space="preserve"> </w:t>
      </w:r>
      <w:r>
        <w:t xml:space="preserve">Sich</w:t>
      </w:r>
      <w:r>
        <w:t xml:space="preserve"> </w:t>
      </w:r>
      <w:r>
        <w:t xml:space="preserve">‘</w:t>
      </w:r>
      <w:r>
        <w:t xml:space="preserve">professionalisieren</w:t>
      </w:r>
      <w:r>
        <w:t xml:space="preserve">’</w:t>
      </w:r>
      <w:r>
        <w:t xml:space="preserve"> </w:t>
      </w:r>
      <w:r>
        <w:t xml:space="preserve">bedeutet ISA-Frameworks adoptieren. Das ist zugleich koloniale Epistemisierung.</w:t>
      </w:r>
    </w:p>
    <w:p>
      <w:pPr>
        <w:pStyle w:val="BodyText"/>
      </w:pPr>
      <w:r>
        <w:rPr>
          <w:bCs/>
          <w:b/>
        </w:rPr>
        <w:t xml:space="preserve">Tiefe:</w:t>
      </w:r>
      <w:r>
        <w:t xml:space="preserve"> </w:t>
      </w:r>
      <w:r>
        <w:t xml:space="preserve">Ein Praktiker in China, der professionell sein will, muss westliche Standards lernen und internalisieren. Das ist der Prozess der Epistemisierung — das eigene Wissen wird untergeordnet.</w:t>
      </w:r>
    </w:p>
    <w:bookmarkEnd w:id="40"/>
    <w:bookmarkStart w:id="41" w:name="X66f76d379e98a6586a5a344afa7e4d2d60b72be"/>
    <w:p>
      <w:pPr>
        <w:pStyle w:val="Heading3"/>
      </w:pPr>
      <w:r>
        <w:t xml:space="preserve">5.4 Hegemoniale Kohärenz/Epistemische Pluralität: Kontrolle vs. Respekt</w:t>
      </w:r>
    </w:p>
    <w:p>
      <w:pPr>
        <w:pStyle w:val="FirstParagraph"/>
      </w:pPr>
      <w:r>
        <w:rPr>
          <w:bCs/>
          <w:b/>
        </w:rPr>
        <w:t xml:space="preserve">Die Spannung:</w:t>
      </w:r>
      <w:r>
        <w:t xml:space="preserve"> </w:t>
      </w:r>
      <w:r>
        <w:t xml:space="preserve">Kohärenz durch Hegemonie (ein Framework für alle) vs. Kohärenz durch Pluralität (multiple gleich-gültige Frameworks). ISA versucht beides — das ist die strukturale Inkoherenz.</w:t>
      </w:r>
    </w:p>
    <w:p>
      <w:r>
        <w:pict>
          <v:rect style="width:0;height:1.5pt" o:hralign="center" o:hrstd="t" o:hr="t"/>
        </w:pict>
      </w:r>
    </w:p>
    <w:bookmarkEnd w:id="41"/>
    <w:bookmarkEnd w:id="42"/>
    <w:bookmarkStart w:id="46" w:name="syntheseargument"/>
    <w:p>
      <w:pPr>
        <w:pStyle w:val="Heading2"/>
      </w:pPr>
      <w:r>
        <w:t xml:space="preserve">6. Syntheseargument</w:t>
      </w:r>
    </w:p>
    <w:bookmarkStart w:id="43" w:name="was-ff1-3-zusammen-zeigen"/>
    <w:p>
      <w:pPr>
        <w:pStyle w:val="Heading3"/>
      </w:pPr>
      <w:r>
        <w:t xml:space="preserve">Was FF1-3 zusammen zeigen:</w:t>
      </w:r>
    </w:p>
    <w:p>
      <w:pPr>
        <w:pStyle w:val="FirstParagraph"/>
      </w:pPr>
      <w:r>
        <w:rPr>
          <w:bCs/>
          <w:b/>
        </w:rPr>
        <w:t xml:space="preserve">FF1:</w:t>
      </w:r>
      <w:r>
        <w:t xml:space="preserve"> </w:t>
      </w:r>
      <w:r>
        <w:t xml:space="preserve">IFSW-Dokumente behaupten Universalität, während sie spezifische (westliche, liberale) Annahmen enthalten.</w:t>
      </w:r>
    </w:p>
    <w:p>
      <w:pPr>
        <w:pStyle w:val="BodyText"/>
      </w:pPr>
      <w:r>
        <w:rPr>
          <w:bCs/>
          <w:b/>
        </w:rPr>
        <w:t xml:space="preserve">FF2:</w:t>
      </w:r>
      <w:r>
        <w:t xml:space="preserve"> </w:t>
      </w:r>
      <w:r>
        <w:t xml:space="preserve">Diese Behauptung kann nur durchgesetzt werden hegemonial. Jeder Kontext reproduziert die Dominanz unterschiedlich — maskiert in NZ, unsichtbar in der Schweiz, explizit in China.</w:t>
      </w:r>
    </w:p>
    <w:p>
      <w:pPr>
        <w:pStyle w:val="BodyText"/>
      </w:pPr>
      <w:r>
        <w:rPr>
          <w:bCs/>
          <w:b/>
        </w:rPr>
        <w:t xml:space="preserve">FF3:</w:t>
      </w:r>
      <w:r>
        <w:t xml:space="preserve"> </w:t>
      </w:r>
      <w:r>
        <w:t xml:space="preserve">Professionelle Kohärenz unter ISA ist hegemoniale Kohärenz, nicht dialogische oder echte Pluralität.</w:t>
      </w:r>
    </w:p>
    <w:bookmarkEnd w:id="43"/>
    <w:bookmarkStart w:id="44" w:name="die-zentrale-schlussfolgerung"/>
    <w:p>
      <w:pPr>
        <w:pStyle w:val="Heading3"/>
      </w:pPr>
      <w:r>
        <w:t xml:space="preserve">Die zentrale Schlussfolgerung:</w:t>
      </w:r>
    </w:p>
    <w:p>
      <w:pPr>
        <w:pStyle w:val="FirstParagraph"/>
      </w:pPr>
      <w:r>
        <w:t xml:space="preserve">“</w:t>
      </w:r>
      <w:r>
        <w:t xml:space="preserve">Professionelle Kohärenz der internationalen Sozialen Arbeit</w:t>
      </w:r>
      <w:r>
        <w:t xml:space="preserve">”</w:t>
      </w:r>
      <w:r>
        <w:t xml:space="preserve"> </w:t>
      </w:r>
      <w:r>
        <w:t xml:space="preserve">ist eine</w:t>
      </w:r>
      <w:r>
        <w:t xml:space="preserve"> </w:t>
      </w:r>
      <w:r>
        <w:rPr>
          <w:bCs/>
          <w:b/>
        </w:rPr>
        <w:t xml:space="preserve">falsche Kohärenz</w:t>
      </w:r>
      <w:r>
        <w:t xml:space="preserve">. Sie wird erreicht durch</w:t>
      </w:r>
      <w:r>
        <w:t xml:space="preserve"> </w:t>
      </w:r>
      <w:r>
        <w:rPr>
          <w:bCs/>
          <w:b/>
        </w:rPr>
        <w:t xml:space="preserve">Hegemonie</w:t>
      </w:r>
      <w:r>
        <w:t xml:space="preserve">, nicht durch Dialog oder echte Pluralität. Die Inkoherenz — die Lücke zwischen Performance und Enactment — ist der</w:t>
      </w:r>
      <w:r>
        <w:t xml:space="preserve"> </w:t>
      </w:r>
      <w:r>
        <w:rPr>
          <w:bCs/>
          <w:b/>
        </w:rPr>
        <w:t xml:space="preserve">Mechanismus der Hegemonie, nicht ihr Fehler</w:t>
      </w:r>
      <w:r>
        <w:t xml:space="preserve">.</w:t>
      </w:r>
    </w:p>
    <w:bookmarkEnd w:id="44"/>
    <w:bookmarkStart w:id="45" w:name="die-normative-frage"/>
    <w:p>
      <w:pPr>
        <w:pStyle w:val="Heading3"/>
      </w:pPr>
      <w:r>
        <w:t xml:space="preserve">Die normative Frage:</w:t>
      </w:r>
    </w:p>
    <w:p>
      <w:pPr>
        <w:pStyle w:val="FirstParagraph"/>
      </w:pPr>
      <w:r>
        <w:t xml:space="preserve">Ist wahre professionelle Kohärenz unter gegenwärtigen Machtstrukturen möglich? Diese Thesis argumentiert: Nein. Aber sie weist auch auf das hin, was sich ändern müsste — epistemische Gleichheit, nicht nur symbolische Anerkennung.</w:t>
      </w:r>
    </w:p>
    <w:p>
      <w:r>
        <w:pict>
          <v:rect style="width:0;height:1.5pt" o:hralign="center" o:hrstd="t" o:hr="t"/>
        </w:pict>
      </w:r>
    </w:p>
    <w:bookmarkEnd w:id="45"/>
    <w:bookmarkEnd w:id="46"/>
    <w:bookmarkStart w:id="47" w:name="gliederung-der-finalen-thesis"/>
    <w:p>
      <w:pPr>
        <w:pStyle w:val="Heading2"/>
      </w:pPr>
      <w:r>
        <w:t xml:space="preserve">7. Gliederung der finalen Thesis</w:t>
      </w:r>
    </w:p>
    <w:p>
      <w:pPr>
        <w:numPr>
          <w:ilvl w:val="0"/>
          <w:numId w:val="1012"/>
        </w:numPr>
        <w:pStyle w:val="Compact"/>
      </w:pPr>
      <w:r>
        <w:rPr>
          <w:bCs/>
          <w:b/>
        </w:rPr>
        <w:t xml:space="preserve">Einleitung</w:t>
      </w:r>
      <w:r>
        <w:t xml:space="preserve"> </w:t>
      </w:r>
      <w:r>
        <w:t xml:space="preserve">— Das Paradoxon</w:t>
      </w:r>
    </w:p>
    <w:p>
      <w:pPr>
        <w:numPr>
          <w:ilvl w:val="0"/>
          <w:numId w:val="1012"/>
        </w:numPr>
        <w:pStyle w:val="Compact"/>
      </w:pPr>
      <w:r>
        <w:rPr>
          <w:bCs/>
          <w:b/>
        </w:rPr>
        <w:t xml:space="preserve">Theoretischer Rahmen</w:t>
      </w:r>
      <w:r>
        <w:t xml:space="preserve"> </w:t>
      </w:r>
      <w:r>
        <w:t xml:space="preserve">— Die 5 Schichten (Gramsci, Fricker, Freire, Mignolo, Fairclough)</w:t>
      </w:r>
    </w:p>
    <w:p>
      <w:pPr>
        <w:numPr>
          <w:ilvl w:val="0"/>
          <w:numId w:val="1012"/>
        </w:numPr>
        <w:pStyle w:val="Compact"/>
      </w:pPr>
      <w:r>
        <w:rPr>
          <w:bCs/>
          <w:b/>
        </w:rPr>
        <w:t xml:space="preserve">Methodik</w:t>
      </w:r>
      <w:r>
        <w:t xml:space="preserve"> </w:t>
      </w:r>
      <w:r>
        <w:t xml:space="preserve">— CDA + theoretische Erweiterungen + analytische Protokolle</w:t>
      </w:r>
    </w:p>
    <w:p>
      <w:pPr>
        <w:numPr>
          <w:ilvl w:val="0"/>
          <w:numId w:val="1012"/>
        </w:numPr>
        <w:pStyle w:val="Compact"/>
      </w:pPr>
      <w:r>
        <w:rPr>
          <w:bCs/>
          <w:b/>
        </w:rPr>
        <w:t xml:space="preserve">FF1 Analyse</w:t>
      </w:r>
      <w:r>
        <w:t xml:space="preserve"> </w:t>
      </w:r>
      <w:r>
        <w:t xml:space="preserve">— IFSW-Dokumente als hegemoniale Texte</w:t>
      </w:r>
    </w:p>
    <w:p>
      <w:pPr>
        <w:numPr>
          <w:ilvl w:val="0"/>
          <w:numId w:val="1012"/>
        </w:numPr>
        <w:pStyle w:val="Compact"/>
      </w:pPr>
      <w:r>
        <w:rPr>
          <w:bCs/>
          <w:b/>
        </w:rPr>
        <w:t xml:space="preserve">FF2 Analyse</w:t>
      </w:r>
      <w:r>
        <w:t xml:space="preserve"> </w:t>
      </w:r>
      <w:r>
        <w:t xml:space="preserve">— NZ, Schweiz, China: Manifestationen der Inkoherenz</w:t>
      </w:r>
    </w:p>
    <w:p>
      <w:pPr>
        <w:numPr>
          <w:ilvl w:val="0"/>
          <w:numId w:val="1012"/>
        </w:numPr>
        <w:pStyle w:val="Compact"/>
      </w:pPr>
      <w:r>
        <w:rPr>
          <w:bCs/>
          <w:b/>
        </w:rPr>
        <w:t xml:space="preserve">FF3 Analyse</w:t>
      </w:r>
      <w:r>
        <w:t xml:space="preserve"> </w:t>
      </w:r>
      <w:r>
        <w:t xml:space="preserve">— Die vier Spannungsfelder als Ausdrücke der einen Inkoherenz</w:t>
      </w:r>
    </w:p>
    <w:p>
      <w:pPr>
        <w:numPr>
          <w:ilvl w:val="0"/>
          <w:numId w:val="1012"/>
        </w:numPr>
        <w:pStyle w:val="Compact"/>
      </w:pPr>
      <w:r>
        <w:rPr>
          <w:bCs/>
          <w:b/>
        </w:rPr>
        <w:t xml:space="preserve">Synthese &amp; Fazit</w:t>
      </w:r>
      <w:r>
        <w:t xml:space="preserve"> </w:t>
      </w:r>
      <w:r>
        <w:t xml:space="preserve">— Was das alles bedeutet für professionelle Kohärenz</w:t>
      </w:r>
    </w:p>
    <w:p>
      <w:pPr>
        <w:numPr>
          <w:ilvl w:val="0"/>
          <w:numId w:val="1012"/>
        </w:numPr>
        <w:pStyle w:val="Compact"/>
      </w:pPr>
      <w:r>
        <w:rPr>
          <w:bCs/>
          <w:b/>
        </w:rPr>
        <w:t xml:space="preserve">Ausblick</w:t>
      </w:r>
      <w:r>
        <w:t xml:space="preserve"> </w:t>
      </w:r>
      <w:r>
        <w:t xml:space="preserve">— Was würde eine nicht-hegemoniale ISA erfordern?</w:t>
      </w:r>
    </w:p>
    <w:p>
      <w:r>
        <w:pict>
          <v:rect style="width:0;height:1.5pt" o:hralign="center" o:hrstd="t" o:hr="t"/>
        </w:pict>
      </w:r>
    </w:p>
    <w:p>
      <w:pPr>
        <w:pStyle w:val="FirstParagraph"/>
      </w:pPr>
      <w:r>
        <w:rPr>
          <w:bCs/>
          <w:b/>
        </w:rPr>
        <w:t xml:space="preserve">Nächster Schritt:</w:t>
      </w:r>
      <w:r>
        <w:t xml:space="preserve"> </w:t>
      </w:r>
      <w:r>
        <w:t xml:space="preserve">Willst du, dass ich bei der Dokumentanalyse starten, oder willst du den Konzept-Umfang vorher mit den Supervisoren klären?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2026-02-23T21:12:31Z</dcterms:created>
  <dcterms:modified xsi:type="dcterms:W3CDTF">2026-02-23T21:12:31Z</dcterms:modified>
</cp:coreProperties>
</file>

<file path=docProps/custom.xml><?xml version="1.0" encoding="utf-8"?>
<Properties xmlns="http://schemas.openxmlformats.org/officeDocument/2006/custom-properties" xmlns:vt="http://schemas.openxmlformats.org/officeDocument/2006/docPropsVTypes"/>
</file>