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{{issuing_authority}}</w:t>
              <w:br/>
              <w:t>Số: {{document_number}}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KẾ HOẠCH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/>
          <w:sz w:val="26"/>
        </w:rPr>
        <w:t>I. MỤC ĐÍCH, YÊU CẦU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{{objectives}}</w:t>
      </w:r>
    </w:p>
    <w:p>
      <w:pPr>
        <w:jc w:val="left"/>
      </w:pPr>
      <w:r>
        <w:rPr>
          <w:rFonts w:ascii="Times New Roman" w:hAnsi="Times New Roman"/>
          <w:b/>
          <w:sz w:val="26"/>
        </w:rPr>
        <w:t>II. NỘI DUNG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{{content}}</w:t>
      </w:r>
    </w:p>
    <w:p>
      <w:pPr>
        <w:jc w:val="left"/>
      </w:pPr>
      <w:r>
        <w:rPr>
          <w:rFonts w:ascii="Times New Roman" w:hAnsi="Times New Roman"/>
          <w:b/>
          <w:sz w:val="26"/>
        </w:rPr>
        <w:t>III. TỔ CHỨC THỰC HIỆN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{{implementation}}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vietnamese-administrative:ke_hoach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