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CHIẾN LƯỢC PHÁT TRIỂN LÃNH ĐẠO TẬP ĐOÀN GUCCI (GUCCI 2.0)</w:t>
      </w:r>
    </w:p>
    <w:p>
      <w:pPr>
        <w:pStyle w:val="3"/>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1. Bối cảnh và Tầm nhìn (Group DNA)</w:t>
      </w:r>
    </w:p>
    <w:p>
      <w:pPr>
        <w:pStyle w:val="4"/>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Tập đoàn Gucci hiện đang quản lý </w:t>
      </w:r>
      <w:r>
        <w:rPr>
          <w:rFonts w:hint="default" w:ascii="Times New Roman" w:hAnsi="Times New Roman" w:eastAsia="sans-serif" w:cs="Times New Roman"/>
          <w:b/>
          <w:sz w:val="26"/>
          <w:szCs w:val="26"/>
        </w:rPr>
        <w:t>9 thương hiệu biểu tượng</w:t>
      </w:r>
      <w:r>
        <w:rPr>
          <w:rFonts w:hint="default" w:ascii="Times New Roman" w:hAnsi="Times New Roman" w:eastAsia="sans-serif" w:cs="Times New Roman"/>
          <w:sz w:val="26"/>
          <w:szCs w:val="26"/>
        </w:rPr>
        <w:t xml:space="preserve"> hoạt động với sự tự chủ cao. Nhiệm vụ cốt lõi của bộ phận Phát triển Tổ chức (OD) là xây dựng một hệ thống lãnh đạo chung giúp kết nối các thương hiệu mà không làm mất đi bản sắc riêng (Brand DNA) của từng nhà mốt. Hệ thống này tập trung vào việc tăng cường khả năng luân chuyển nhân tài giữa các thương hiệu (inter-brand mobility) và xây dựng lộ trình thăng tiến bền vững.</w:t>
      </w:r>
    </w:p>
    <w:p>
      <w:pPr>
        <w:pStyle w:val="3"/>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Khung năng lực cốt lõi (The Competency Framework)</w:t>
      </w:r>
    </w:p>
    <w:p>
      <w:pPr>
        <w:pStyle w:val="4"/>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Khung năng lực của tập đoàn được xây dựng dựa trên </w:t>
      </w:r>
      <w:r>
        <w:rPr>
          <w:rFonts w:hint="default" w:ascii="Times New Roman" w:hAnsi="Times New Roman" w:eastAsia="sans-serif" w:cs="Times New Roman"/>
          <w:b/>
          <w:sz w:val="26"/>
          <w:szCs w:val="26"/>
        </w:rPr>
        <w:t>4 chủ đề chính</w:t>
      </w:r>
      <w:r>
        <w:rPr>
          <w:rFonts w:hint="default" w:ascii="Times New Roman" w:hAnsi="Times New Roman" w:eastAsia="sans-serif" w:cs="Times New Roman"/>
          <w:sz w:val="26"/>
          <w:szCs w:val="26"/>
        </w:rPr>
        <w:t>:</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Vision (Tầm nhìn):</w:t>
      </w:r>
      <w:r>
        <w:rPr>
          <w:rFonts w:hint="default" w:ascii="Times New Roman" w:hAnsi="Times New Roman" w:eastAsia="sans-serif" w:cs="Times New Roman"/>
          <w:sz w:val="26"/>
          <w:szCs w:val="26"/>
        </w:rPr>
        <w:t xml:space="preserve"> Khả năng dự đoán xu hướng xa xỉ và thiết lập hướng đi dài hạn cho thương hiệu.</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Entrepreneurship (Tinh thần khởi nghiệp):</w:t>
      </w:r>
      <w:r>
        <w:rPr>
          <w:rFonts w:hint="default" w:ascii="Times New Roman" w:hAnsi="Times New Roman" w:eastAsia="sans-serif" w:cs="Times New Roman"/>
          <w:sz w:val="26"/>
          <w:szCs w:val="26"/>
        </w:rPr>
        <w:t xml:space="preserve"> Khuyến khích sự nhanh nhạy, tính quyết đoán và khả năng tối ưu hóa nguồn lực trong môi trường bán lẻ cao cấp.</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Passion (Đam mê):</w:t>
      </w:r>
      <w:r>
        <w:rPr>
          <w:rFonts w:hint="default" w:ascii="Times New Roman" w:hAnsi="Times New Roman" w:eastAsia="sans-serif" w:cs="Times New Roman"/>
          <w:sz w:val="26"/>
          <w:szCs w:val="26"/>
        </w:rPr>
        <w:t xml:space="preserve"> Sự tận tâm với nghệ thuật thủ công, di sản thương hiệu và trải nghiệm khách hàng xuất sắc.</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Trust (Sự tin tưởng):</w:t>
      </w:r>
      <w:r>
        <w:rPr>
          <w:rFonts w:hint="default" w:ascii="Times New Roman" w:hAnsi="Times New Roman" w:eastAsia="sans-serif" w:cs="Times New Roman"/>
          <w:sz w:val="26"/>
          <w:szCs w:val="26"/>
        </w:rPr>
        <w:t xml:space="preserve"> Xây dựng môi trường chính trực, minh bạch và tạo điều kiện cho sự hợp tác đa văn hóa.</w:t>
      </w:r>
    </w:p>
    <w:p>
      <w:pPr>
        <w:pStyle w:val="3"/>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Chương trình Phản hồi $360^{\circ}$ và Coaching</w:t>
      </w:r>
    </w:p>
    <w:p>
      <w:pPr>
        <w:pStyle w:val="4"/>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Để đánh giá và phát triển đội ngũ lãnh đạo, tập đoàn triển khai quy trình chuẩn:</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Công cụ $360^{\circ}$:</w:t>
      </w:r>
      <w:r>
        <w:rPr>
          <w:rFonts w:hint="default" w:ascii="Times New Roman" w:hAnsi="Times New Roman" w:eastAsia="sans-serif" w:cs="Times New Roman"/>
          <w:sz w:val="26"/>
          <w:szCs w:val="26"/>
        </w:rPr>
        <w:t xml:space="preserve"> Thu thập phản hồi đa chiều từ cấp trên, đồng nghiệp và cấp dưới dựa trên 4 chủ đề năng lực cốt lõi.</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Quy tắc:</w:t>
      </w:r>
      <w:r>
        <w:rPr>
          <w:rFonts w:hint="default" w:ascii="Times New Roman" w:hAnsi="Times New Roman" w:eastAsia="sans-serif" w:cs="Times New Roman"/>
          <w:sz w:val="26"/>
          <w:szCs w:val="26"/>
        </w:rPr>
        <w:t xml:space="preserve"> Đảm bảo tính ẩn danh tuyệt đối cho người đánh giá và tuân thủ các quy định về bảo mật dữ liệu.</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Coaching:</w:t>
      </w:r>
      <w:r>
        <w:rPr>
          <w:rFonts w:hint="default" w:ascii="Times New Roman" w:hAnsi="Times New Roman" w:eastAsia="sans-serif" w:cs="Times New Roman"/>
          <w:sz w:val="26"/>
          <w:szCs w:val="26"/>
        </w:rPr>
        <w:t xml:space="preserve"> Sau khi có kết quả đánh giá, lãnh đạo sẽ tham gia các phiên huấn luyện (coaching) định kỳ để chuyển hóa mục tiêu thành thói quen làm việc.</w:t>
      </w:r>
    </w:p>
    <w:p>
      <w:pPr>
        <w:pStyle w:val="3"/>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4. Lộ trình triển khai (Rollout Plan)</w:t>
      </w:r>
    </w:p>
    <w:p>
      <w:pPr>
        <w:pStyle w:val="4"/>
        <w:keepNext w:val="0"/>
        <w:keepLines w:val="0"/>
        <w:widowControl/>
        <w:suppressLineNumbers w:val="0"/>
        <w:spacing w:before="0" w:beforeAutospacing="0" w:line="12"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Việc triển khai được thực hiện thông qua các hội thảo tương tác do nhân sự địa phương (Local HR) dẫn dắt để đảm bảo phù hợp với văn hóa từng vùng</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Rủi ro:</w:t>
      </w:r>
      <w:r>
        <w:rPr>
          <w:rFonts w:hint="default" w:ascii="Times New Roman" w:hAnsi="Times New Roman" w:eastAsia="sans-serif" w:cs="Times New Roman"/>
          <w:sz w:val="26"/>
          <w:szCs w:val="26"/>
        </w:rPr>
        <w:t xml:space="preserve"> Áp lực thời gian và sự lo ngại về việc mất đi bản sắc thương hiệu riêng lẻ.</w:t>
      </w:r>
    </w:p>
    <w:p>
      <w:pPr>
        <w:pStyle w:val="4"/>
        <w:keepNext w:val="0"/>
        <w:keepLines w:val="0"/>
        <w:widowControl/>
        <w:suppressLineNumbers w:val="0"/>
        <w:spacing w:before="0" w:beforeAutospacing="0" w:line="12"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sz w:val="26"/>
          <w:szCs w:val="26"/>
        </w:rPr>
        <w:t>Đo lường:</w:t>
      </w:r>
      <w:r>
        <w:rPr>
          <w:rFonts w:hint="default" w:ascii="Times New Roman" w:hAnsi="Times New Roman" w:eastAsia="sans-serif" w:cs="Times New Roman"/>
          <w:sz w:val="26"/>
          <w:szCs w:val="26"/>
        </w:rPr>
        <w:t xml:space="preserve"> Sử dụng các chỉ số KPI dẫn đầu (leading) và KPI kết quả (lagging) thông qua bảng điều khiển (dashboard) để theo dõi mức độ áp dụng khung năng lực mới.</w:t>
      </w:r>
    </w:p>
    <w:p>
      <w:pPr>
        <w:keepNext w:val="0"/>
        <w:keepLines w:val="0"/>
        <w:widowControl/>
        <w:numPr>
          <w:numId w:val="0"/>
        </w:numPr>
        <w:suppressLineNumbers w:val="0"/>
        <w:spacing w:before="0" w:beforeAutospacing="0" w:after="0" w:afterAutospacing="1" w:line="12" w:lineRule="atLeast"/>
        <w:rPr>
          <w:rFonts w:hint="default" w:ascii="Times New Roman" w:hAnsi="Times New Roman" w:eastAsia="sans-serif" w:cs="Times New Roman"/>
          <w:sz w:val="26"/>
          <w:szCs w:val="26"/>
        </w:rPr>
      </w:pPr>
      <w:bookmarkStart w:id="0" w:name="_GoBack"/>
      <w:bookmarkEnd w:id="0"/>
    </w:p>
    <w:p>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E26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2026-03-03T06:19:35Z</dcterms:created>
  <dc:creator>ADMIN</dc:creator>
  <cp:lastModifiedBy>ADMIN</cp:lastModifiedBy>
  <dcterms:modified xsi:type="dcterms:W3CDTF">2026-03-03T06:20:13Z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