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b/>
          <w:color w:val="222222"/>
          <w:sz w:val="32"/>
        </w:rPr>
        <w:t>Optimización de ubicaciones de parques solares mediante algoritmos genéticos</w:t>
      </w:r>
    </w:p>
    <w:p>
      <w:pPr>
        <w:spacing w:after="80"/>
        <w:jc w:val="center"/>
      </w:pPr>
      <w:r>
        <w:rPr>
          <w:rFonts w:ascii="Times New Roman" w:hAnsi="Times New Roman"/>
          <w:b/>
          <w:color w:val="222222"/>
          <w:sz w:val="28"/>
        </w:rPr>
        <w:t xml:space="preserve"> </w:t>
      </w:r>
    </w:p>
    <w:p>
      <w:pPr>
        <w:spacing w:after="160"/>
        <w:jc w:val="center"/>
      </w:pPr>
      <w:r>
        <w:rPr>
          <w:rFonts w:ascii="Times New Roman" w:hAnsi="Times New Roman"/>
          <w:b/>
          <w:i/>
          <w:color w:val="222222"/>
          <w:sz w:val="24"/>
        </w:rPr>
        <w:t>Universidad Tecnológica Nacional Facultad Regional Buenos Aires</w:t>
      </w:r>
    </w:p>
    <w:p>
      <w:pPr>
        <w:spacing w:after="200"/>
        <w:jc w:val="center"/>
      </w:pPr>
      <w:r>
        <w:rPr>
          <w:rFonts w:ascii="Times New Roman" w:hAnsi="Times New Roman"/>
          <w:i/>
          <w:color w:val="222222"/>
          <w:sz w:val="20"/>
        </w:rPr>
        <w:t>Versión para evaluación ciega</w:t>
      </w:r>
    </w:p>
    <w:p>
      <w:pPr>
        <w:sectPr>
          <w:pgSz w:w="11906" w:h="16838"/>
          <w:pgMar w:top="1417" w:right="1417" w:bottom="1417" w:left="1417" w:header="720" w:footer="720" w:gutter="0"/>
          <w:cols w:space="720"/>
          <w:docGrid w:linePitch="360"/>
        </w:sectPr>
      </w:pPr>
    </w:p>
    <w:p>
      <w:pPr>
        <w:spacing w:before="140" w:after="60"/>
        <w:keepNext/>
        <w:keepLines/>
      </w:pPr>
      <w:r>
        <w:rPr>
          <w:rFonts w:ascii="Times New Roman" w:hAnsi="Times New Roman"/>
          <w:b/>
          <w:color w:val="222222"/>
          <w:sz w:val="24"/>
        </w:rPr>
        <w:t>Abstract</w:t>
      </w:r>
    </w:p>
    <w:p>
      <w:pPr>
        <w:spacing w:line="240" w:lineRule="auto" w:after="60"/>
        <w:jc w:val="both"/>
      </w:pPr>
      <w:r>
        <w:rPr>
          <w:rFonts w:ascii="Times New Roman" w:hAnsi="Times New Roman"/>
          <w:i/>
          <w:color w:val="222222"/>
          <w:sz w:val="20"/>
        </w:rPr>
        <w:t>Este trabajo presenta un prototipo reproducible para identificar celdas potencialmente favorables para un parque solar fotovoltaico en Santa Fe. El sistema integra radiación ERA5-Land ARCO, distancias a líneas eléctricas y estaciones transformadoras, y una exclusión urbana construida a partir de puntos BAHRA. La corrida analizada generó 1788 celdas de 9 km; 720 fueron excluidas y 1068 ingresaron a la optimización. La celda 104 encabezó el ranking genético con fitness 0.7900 y radiación anual estimada de 1854.0 kWh/m². El TOP 10 genético compartió 4 celdas con el exhaustivo y omitió su mejor alternativa. Las 11 pruebas automatizadas finalizaron correctamente. El resultado confirma la ejecución reproducible, pero muestra que la configuración genética actual no garantiza recuperar las mejores alternativas al aumentar la resolución.</w:t>
      </w:r>
    </w:p>
    <w:p>
      <w:pPr>
        <w:spacing w:after="100"/>
      </w:pPr>
      <w:r>
        <w:rPr>
          <w:rFonts w:ascii="Times New Roman" w:hAnsi="Times New Roman"/>
          <w:b/>
          <w:color w:val="222222"/>
          <w:sz w:val="20"/>
        </w:rPr>
        <w:t xml:space="preserve">Palabras Clave </w:t>
      </w:r>
      <w:r>
        <w:rPr>
          <w:rFonts w:ascii="Times New Roman" w:hAnsi="Times New Roman"/>
          <w:color w:val="222222"/>
          <w:sz w:val="20"/>
        </w:rPr>
        <w:t>algoritmos genéticos, energía solar, análisis geoespacial, selección de sitios, ERA5-Land</w:t>
      </w:r>
    </w:p>
    <w:p>
      <w:pPr>
        <w:spacing w:before="140" w:after="60"/>
        <w:keepNext/>
        <w:keepLines/>
      </w:pPr>
      <w:r>
        <w:rPr>
          <w:rFonts w:ascii="Times New Roman" w:hAnsi="Times New Roman"/>
          <w:b/>
          <w:color w:val="222222"/>
          <w:sz w:val="24"/>
        </w:rPr>
        <w:t>Introducción</w:t>
      </w:r>
    </w:p>
    <w:p>
      <w:pPr>
        <w:spacing w:line="240" w:lineRule="auto" w:after="60"/>
        <w:jc w:val="both"/>
      </w:pPr>
      <w:r>
        <w:rPr>
          <w:rFonts w:ascii="Times New Roman" w:hAnsi="Times New Roman"/>
          <w:i w:val="0"/>
          <w:color w:val="222222"/>
          <w:sz w:val="24"/>
        </w:rPr>
        <w:t>La localización preliminar de una planta fotovoltaica exige comparar alternativas espaciales según recurso solar, infraestructura, restricciones territoriales y costos. Los enfoques GIS-MCDA organizan esas evidencias, pero el resultado depende de las capas, las reglas de exclusión y los pesos [4]-[6]. Este proyecto estudia si un algoritmo genético puede recuperar de manera reproducible las mejores celdas de una grilla provincial a partir de tres criterios cuantitativos y una restricción urbana.</w:t>
      </w:r>
    </w:p>
    <w:p>
      <w:pPr>
        <w:spacing w:line="240" w:lineRule="auto" w:after="60"/>
        <w:jc w:val="both"/>
      </w:pPr>
      <w:r>
        <w:rPr>
          <w:rFonts w:ascii="Times New Roman" w:hAnsi="Times New Roman"/>
          <w:i w:val="0"/>
          <w:color w:val="222222"/>
          <w:sz w:val="24"/>
        </w:rPr>
        <w:t>La contribución es un flujo completo y trazable. La ingesta usa fuentes oficiales argentinas para límite, asentamientos y red eléctrica [9]-[12], y ERA5-Land ARCO para radiación [7], [8]. El algoritmo no consulta servicios externos: opera sobre métricas persistidas en una base local. La salida es un ranking de preselección, no una decisión de inversión.</w:t>
      </w:r>
    </w:p>
    <w:p>
      <w:pPr>
        <w:spacing w:before="140" w:after="60"/>
        <w:keepNext/>
        <w:keepLines/>
      </w:pPr>
      <w:r>
        <w:rPr>
          <w:rFonts w:ascii="Times New Roman" w:hAnsi="Times New Roman"/>
          <w:b/>
          <w:color w:val="222222"/>
          <w:sz w:val="24"/>
        </w:rPr>
        <w:t>Elementos del trabajo y metodología</w:t>
      </w:r>
    </w:p>
    <w:p>
      <w:pPr>
        <w:spacing w:line="240" w:lineRule="auto" w:after="60"/>
        <w:jc w:val="both"/>
      </w:pPr>
      <w:r>
        <w:rPr>
          <w:rFonts w:ascii="Times New Roman" w:hAnsi="Times New Roman"/>
          <w:i w:val="0"/>
          <w:color w:val="222222"/>
          <w:sz w:val="24"/>
        </w:rPr>
        <w:t>La provincia de Santa Fe se discretizó mediante 1788 celdas de 9 km en un sistema de coordenadas proyectado. BAHRA describe asentamientos como puntos; se seleccionaron registros de tipo LOCALIDAD y se aplicó un buffer de 3 km. Toda celda que intersectó un buffer se marcó como inválida. Para las restantes se calculó la distancia mínima a líneas eléctricas y estaciones transformadoras.</w:t>
      </w:r>
    </w:p>
    <w:p>
      <w:pPr>
        <w:spacing w:line="240" w:lineRule="auto" w:after="60"/>
        <w:jc w:val="both"/>
      </w:pPr>
      <w:r>
        <w:rPr>
          <w:rFonts w:ascii="Times New Roman" w:hAnsi="Times New Roman"/>
          <w:i w:val="0"/>
          <w:color w:val="222222"/>
          <w:sz w:val="24"/>
        </w:rPr>
        <w:t>ERA5-Land ofrece reanálisis horario terrestre con resolución aproximada de 9 km [7]. El acceso ARCO permite leer subconjuntos sin descargar archivos completos [8]. Para cada centroide se eligió el punto climático más cercano y se resumieron enero, abril, julio y octubre desde 1970 hasta 2026. Las medias mensuales se convirtieron a irradiación diaria, se proyectaron a los días de cada estación y se sumaron como estimación anual.</w:t>
      </w:r>
    </w:p>
    <w:p>
      <w:pPr>
        <w:spacing w:line="240" w:lineRule="auto" w:after="60"/>
        <w:jc w:val="both"/>
      </w:pPr>
      <w:r>
        <w:rPr>
          <w:rFonts w:ascii="Times New Roman" w:hAnsi="Times New Roman"/>
          <w:i w:val="0"/>
          <w:color w:val="222222"/>
          <w:sz w:val="24"/>
        </w:rPr>
        <w:t>Las tres métricas se normalizaron entre cero y uno. La radiación conserva el sentido creciente; las distancias se invierten para representar proximidad. La función utilizada fue fitness = 0,50·radiación + 0,20·proximidad a líneas + 0,30·proximidad a transformadores. Los pesos son iniciales y no están científicamente calibrados.</w:t>
      </w:r>
    </w:p>
    <w:p>
      <w:pPr>
        <w:spacing w:line="240" w:lineRule="auto" w:after="60"/>
        <w:jc w:val="both"/>
      </w:pPr>
      <w:r>
        <w:rPr>
          <w:rFonts w:ascii="Times New Roman" w:hAnsi="Times New Roman"/>
          <w:i w:val="0"/>
          <w:color w:val="222222"/>
          <w:sz w:val="24"/>
        </w:rPr>
        <w:t>Cada individuo del algoritmo representa el índice de una celda válida. La población fue de 50 individuos durante 100 generaciones, con selección por torneo de tamaño tres, elitismo de dos, cruce con probabilidad 0,75, mutación con probabilidad 0,05 y semilla 42. Un registro histórico conservó las mejores soluciones vistas. La implementación sigue los componentes habituales de los algoritmos genéticos [1]-[3].</w:t>
      </w:r>
    </w:p>
    <w:p>
      <w:pPr>
        <w:spacing w:line="240" w:lineRule="auto" w:after="60"/>
        <w:jc w:val="both"/>
      </w:pPr>
      <w:r>
        <w:rPr>
          <w:rFonts w:ascii="Times New Roman" w:hAnsi="Times New Roman"/>
          <w:i w:val="0"/>
          <w:color w:val="222222"/>
          <w:sz w:val="24"/>
        </w:rPr>
        <w:t>La verificación incluyó revisión de metadatos, 11 pruebas automatizadas y una comparación contra el ordenamiento exhaustivo de las 1068 celdas válidas.</w:t>
      </w:r>
    </w:p>
    <w:p>
      <w:pPr>
        <w:spacing w:before="140" w:after="60"/>
        <w:keepNext/>
        <w:keepLines/>
      </w:pPr>
      <w:r>
        <w:rPr>
          <w:rFonts w:ascii="Times New Roman" w:hAnsi="Times New Roman"/>
          <w:b/>
          <w:color w:val="222222"/>
          <w:sz w:val="24"/>
        </w:rPr>
        <w:t>Resultados</w:t>
      </w:r>
    </w:p>
    <w:p>
      <w:pPr>
        <w:spacing w:line="240" w:lineRule="auto" w:after="60"/>
        <w:jc w:val="both"/>
      </w:pPr>
      <w:r>
        <w:rPr>
          <w:rFonts w:ascii="Times New Roman" w:hAnsi="Times New Roman"/>
          <w:i w:val="0"/>
          <w:color w:val="222222"/>
          <w:sz w:val="24"/>
        </w:rPr>
        <w:t>El procesamiento excluyó 720 celdas por intersección urbana, 40.3 % del total, y no registró faltantes climáticos. La Figura 1 ubica las diez soluciones genéticas mejor clasificadas. La primera fue la celda 104, en latitud -30.4502 y longitud -62.0830, con fitness 0.7900. Su radiación anual estimada fue 1854.0 kWh/m²; la distancia a una línea fue 0.0 km y la distancia al transformador más cercano, 171.6 km.</w:t>
      </w:r>
    </w:p>
    <w:p>
      <w:pPr>
        <w:spacing w:before="100" w:after="40"/>
        <w:jc w:val="center"/>
        <w:keepNext/>
        <w:keepLines/>
      </w:pPr>
      <w:r>
        <w:drawing>
          <wp:inline xmlns:a="http://schemas.openxmlformats.org/drawingml/2006/main" xmlns:pic="http://schemas.openxmlformats.org/drawingml/2006/picture">
            <wp:extent cx="2556000" cy="2939400"/>
            <wp:docPr id="1" name="Picture 1"/>
            <wp:cNvGraphicFramePr>
              <a:graphicFrameLocks noChangeAspect="1"/>
            </wp:cNvGraphicFramePr>
            <a:graphic>
              <a:graphicData uri="http://schemas.openxmlformats.org/drawingml/2006/picture">
                <pic:pic>
                  <pic:nvPicPr>
                    <pic:cNvPr id="0" name="figura_mapa_candidatos.png"/>
                    <pic:cNvPicPr/>
                  </pic:nvPicPr>
                  <pic:blipFill>
                    <a:blip r:embed="rId9"/>
                    <a:stretch>
                      <a:fillRect/>
                    </a:stretch>
                  </pic:blipFill>
                  <pic:spPr>
                    <a:xfrm>
                      <a:off x="0" y="0"/>
                      <a:ext cx="2556000" cy="2939400"/>
                    </a:xfrm>
                    <a:prstGeom prst="rect"/>
                  </pic:spPr>
                </pic:pic>
              </a:graphicData>
            </a:graphic>
          </wp:inline>
        </w:drawing>
      </w:r>
    </w:p>
    <w:p>
      <w:pPr>
        <w:spacing w:before="40" w:after="160"/>
        <w:jc w:val="center"/>
        <w:keepLines/>
      </w:pPr>
      <w:r>
        <w:rPr>
          <w:rFonts w:ascii="Times New Roman" w:hAnsi="Times New Roman"/>
          <w:i/>
          <w:color w:val="222222"/>
          <w:sz w:val="20"/>
        </w:rPr>
        <w:t>Figura 1 Celdas y ubicaciones TOP 10</w:t>
      </w:r>
    </w:p>
    <w:tbl>
      <w:tblPr>
        <w:tblStyle w:val="TableGrid"/>
        <w:tblW w:type="dxa" w:w="3231"/>
        <w:jc w:val="left"/>
        <w:tblLayout w:type="fixed"/>
        <w:tblLook w:firstColumn="1" w:firstRow="1" w:lastColumn="0" w:lastRow="0" w:noHBand="0" w:noVBand="1" w:val="04A0"/>
      </w:tblPr>
      <w:tblGrid>
        <w:gridCol w:w="396"/>
        <w:gridCol w:w="623"/>
        <w:gridCol w:w="623"/>
        <w:gridCol w:w="793"/>
        <w:gridCol w:w="793"/>
      </w:tblGrid>
      <w:tr>
        <w:trPr>
          <w:tblHeader w:val="true"/>
        </w:trPr>
        <w:tc>
          <w:tcPr>
            <w:tcW w:type="dxa" w:w="396"/>
            <w:shd w:fill="E8E8E8"/>
            <w:tcMar>
              <w:top w:w="70" w:type="dxa"/>
              <w:start w:w="90" w:type="dxa"/>
              <w:bottom w:w="70" w:type="dxa"/>
              <w:end w:w="90" w:type="dxa"/>
            </w:tcMar>
            <w:vAlign w:val="center"/>
          </w:tcPr>
          <w:p>
            <w:pPr>
              <w:spacing w:after="0"/>
              <w:jc w:val="center"/>
            </w:pPr>
            <w:r>
              <w:rPr>
                <w:rFonts w:ascii="Times New Roman" w:hAnsi="Times New Roman"/>
                <w:b/>
                <w:color w:val="222222"/>
                <w:sz w:val="16"/>
              </w:rPr>
              <w:t>R</w:t>
            </w:r>
          </w:p>
        </w:tc>
        <w:tc>
          <w:tcPr>
            <w:tcW w:type="dxa" w:w="623"/>
            <w:shd w:fill="E8E8E8"/>
            <w:tcMar>
              <w:top w:w="70" w:type="dxa"/>
              <w:start w:w="90" w:type="dxa"/>
              <w:bottom w:w="70" w:type="dxa"/>
              <w:end w:w="90" w:type="dxa"/>
            </w:tcMar>
            <w:vAlign w:val="center"/>
          </w:tcPr>
          <w:p>
            <w:pPr>
              <w:spacing w:after="0"/>
              <w:jc w:val="center"/>
            </w:pPr>
            <w:r>
              <w:rPr>
                <w:rFonts w:ascii="Times New Roman" w:hAnsi="Times New Roman"/>
                <w:b/>
                <w:color w:val="222222"/>
                <w:sz w:val="16"/>
              </w:rPr>
              <w:t>Celda</w:t>
            </w:r>
          </w:p>
        </w:tc>
        <w:tc>
          <w:tcPr>
            <w:tcW w:type="dxa" w:w="623"/>
            <w:shd w:fill="E8E8E8"/>
            <w:tcMar>
              <w:top w:w="70" w:type="dxa"/>
              <w:start w:w="90" w:type="dxa"/>
              <w:bottom w:w="70" w:type="dxa"/>
              <w:end w:w="90" w:type="dxa"/>
            </w:tcMar>
            <w:vAlign w:val="center"/>
          </w:tcPr>
          <w:p>
            <w:pPr>
              <w:spacing w:after="0"/>
              <w:jc w:val="center"/>
            </w:pPr>
            <w:r>
              <w:rPr>
                <w:rFonts w:ascii="Times New Roman" w:hAnsi="Times New Roman"/>
                <w:b/>
                <w:color w:val="222222"/>
                <w:sz w:val="16"/>
              </w:rPr>
              <w:t>Fit</w:t>
            </w:r>
          </w:p>
        </w:tc>
        <w:tc>
          <w:tcPr>
            <w:tcW w:type="dxa" w:w="793"/>
            <w:shd w:fill="E8E8E8"/>
            <w:tcMar>
              <w:top w:w="70" w:type="dxa"/>
              <w:start w:w="90" w:type="dxa"/>
              <w:bottom w:w="70" w:type="dxa"/>
              <w:end w:w="90" w:type="dxa"/>
            </w:tcMar>
            <w:vAlign w:val="center"/>
          </w:tcPr>
          <w:p>
            <w:pPr>
              <w:spacing w:after="0"/>
              <w:jc w:val="center"/>
            </w:pPr>
            <w:r>
              <w:rPr>
                <w:rFonts w:ascii="Times New Roman" w:hAnsi="Times New Roman"/>
                <w:b/>
                <w:color w:val="222222"/>
                <w:sz w:val="16"/>
              </w:rPr>
              <w:t>Solar</w:t>
            </w:r>
          </w:p>
        </w:tc>
        <w:tc>
          <w:tcPr>
            <w:tcW w:type="dxa" w:w="793"/>
            <w:shd w:fill="E8E8E8"/>
            <w:tcMar>
              <w:top w:w="70" w:type="dxa"/>
              <w:start w:w="90" w:type="dxa"/>
              <w:bottom w:w="70" w:type="dxa"/>
              <w:end w:w="90" w:type="dxa"/>
            </w:tcMar>
            <w:vAlign w:val="center"/>
          </w:tcPr>
          <w:p>
            <w:pPr>
              <w:spacing w:after="0"/>
              <w:jc w:val="center"/>
            </w:pPr>
            <w:r>
              <w:rPr>
                <w:rFonts w:ascii="Times New Roman" w:hAnsi="Times New Roman"/>
                <w:b/>
                <w:color w:val="222222"/>
                <w:sz w:val="16"/>
              </w:rPr>
              <w:t>Trafo</w:t>
            </w:r>
          </w:p>
        </w:tc>
      </w:tr>
      <w:tr>
        <w:tc>
          <w:tcPr>
            <w:tcW w:type="dxa" w:w="396"/>
            <w:tcMar>
              <w:top w:w="70" w:type="dxa"/>
              <w:start w:w="90" w:type="dxa"/>
              <w:bottom w:w="70" w:type="dxa"/>
              <w:end w:w="90" w:type="dxa"/>
            </w:tcMar>
            <w:vAlign w:val="center"/>
          </w:tcPr>
          <w:p>
            <w:pPr>
              <w:spacing w:after="0"/>
            </w:pPr>
            <w:r>
              <w:rPr>
                <w:rFonts w:ascii="Times New Roman" w:hAnsi="Times New Roman"/>
                <w:color w:val="222222"/>
                <w:sz w:val="16"/>
              </w:rPr>
              <w:t>1</w:t>
            </w:r>
          </w:p>
        </w:tc>
        <w:tc>
          <w:tcPr>
            <w:tcW w:type="dxa" w:w="623"/>
            <w:tcMar>
              <w:top w:w="70" w:type="dxa"/>
              <w:start w:w="90" w:type="dxa"/>
              <w:bottom w:w="70" w:type="dxa"/>
              <w:end w:w="90" w:type="dxa"/>
            </w:tcMar>
            <w:vAlign w:val="center"/>
          </w:tcPr>
          <w:p>
            <w:pPr>
              <w:spacing w:after="0"/>
            </w:pPr>
            <w:r>
              <w:rPr>
                <w:rFonts w:ascii="Times New Roman" w:hAnsi="Times New Roman"/>
                <w:color w:val="222222"/>
                <w:sz w:val="16"/>
              </w:rPr>
              <w:t>104</w:t>
            </w:r>
          </w:p>
        </w:tc>
        <w:tc>
          <w:tcPr>
            <w:tcW w:type="dxa" w:w="623"/>
            <w:tcMar>
              <w:top w:w="70" w:type="dxa"/>
              <w:start w:w="90" w:type="dxa"/>
              <w:bottom w:w="70" w:type="dxa"/>
              <w:end w:w="90" w:type="dxa"/>
            </w:tcMar>
            <w:vAlign w:val="center"/>
          </w:tcPr>
          <w:p>
            <w:pPr>
              <w:spacing w:after="0"/>
            </w:pPr>
            <w:r>
              <w:rPr>
                <w:rFonts w:ascii="Times New Roman" w:hAnsi="Times New Roman"/>
                <w:color w:val="222222"/>
                <w:sz w:val="16"/>
              </w:rPr>
              <w:t>0.790</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1854</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171.6</w:t>
            </w:r>
          </w:p>
        </w:tc>
      </w:tr>
      <w:tr>
        <w:tc>
          <w:tcPr>
            <w:tcW w:type="dxa" w:w="396"/>
            <w:tcMar>
              <w:top w:w="70" w:type="dxa"/>
              <w:start w:w="90" w:type="dxa"/>
              <w:bottom w:w="70" w:type="dxa"/>
              <w:end w:w="90" w:type="dxa"/>
            </w:tcMar>
            <w:vAlign w:val="center"/>
          </w:tcPr>
          <w:p>
            <w:pPr>
              <w:spacing w:after="0"/>
            </w:pPr>
            <w:r>
              <w:rPr>
                <w:rFonts w:ascii="Times New Roman" w:hAnsi="Times New Roman"/>
                <w:color w:val="222222"/>
                <w:sz w:val="16"/>
              </w:rPr>
              <w:t>2</w:t>
            </w:r>
          </w:p>
        </w:tc>
        <w:tc>
          <w:tcPr>
            <w:tcW w:type="dxa" w:w="623"/>
            <w:tcMar>
              <w:top w:w="70" w:type="dxa"/>
              <w:start w:w="90" w:type="dxa"/>
              <w:bottom w:w="70" w:type="dxa"/>
              <w:end w:w="90" w:type="dxa"/>
            </w:tcMar>
            <w:vAlign w:val="center"/>
          </w:tcPr>
          <w:p>
            <w:pPr>
              <w:spacing w:after="0"/>
            </w:pPr>
            <w:r>
              <w:rPr>
                <w:rFonts w:ascii="Times New Roman" w:hAnsi="Times New Roman"/>
                <w:color w:val="222222"/>
                <w:sz w:val="16"/>
              </w:rPr>
              <w:t>149</w:t>
            </w:r>
          </w:p>
        </w:tc>
        <w:tc>
          <w:tcPr>
            <w:tcW w:type="dxa" w:w="623"/>
            <w:tcMar>
              <w:top w:w="70" w:type="dxa"/>
              <w:start w:w="90" w:type="dxa"/>
              <w:bottom w:w="70" w:type="dxa"/>
              <w:end w:w="90" w:type="dxa"/>
            </w:tcMar>
            <w:vAlign w:val="center"/>
          </w:tcPr>
          <w:p>
            <w:pPr>
              <w:spacing w:after="0"/>
            </w:pPr>
            <w:r>
              <w:rPr>
                <w:rFonts w:ascii="Times New Roman" w:hAnsi="Times New Roman"/>
                <w:color w:val="222222"/>
                <w:sz w:val="16"/>
              </w:rPr>
              <w:t>0.757</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1842</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152.2</w:t>
            </w:r>
          </w:p>
        </w:tc>
      </w:tr>
      <w:tr>
        <w:tc>
          <w:tcPr>
            <w:tcW w:type="dxa" w:w="396"/>
            <w:tcMar>
              <w:top w:w="70" w:type="dxa"/>
              <w:start w:w="90" w:type="dxa"/>
              <w:bottom w:w="70" w:type="dxa"/>
              <w:end w:w="90" w:type="dxa"/>
            </w:tcMar>
            <w:vAlign w:val="center"/>
          </w:tcPr>
          <w:p>
            <w:pPr>
              <w:spacing w:after="0"/>
            </w:pPr>
            <w:r>
              <w:rPr>
                <w:rFonts w:ascii="Times New Roman" w:hAnsi="Times New Roman"/>
                <w:color w:val="222222"/>
                <w:sz w:val="16"/>
              </w:rPr>
              <w:t>3</w:t>
            </w:r>
          </w:p>
        </w:tc>
        <w:tc>
          <w:tcPr>
            <w:tcW w:type="dxa" w:w="623"/>
            <w:tcMar>
              <w:top w:w="70" w:type="dxa"/>
              <w:start w:w="90" w:type="dxa"/>
              <w:bottom w:w="70" w:type="dxa"/>
              <w:end w:w="90" w:type="dxa"/>
            </w:tcMar>
            <w:vAlign w:val="center"/>
          </w:tcPr>
          <w:p>
            <w:pPr>
              <w:spacing w:after="0"/>
            </w:pPr>
            <w:r>
              <w:rPr>
                <w:rFonts w:ascii="Times New Roman" w:hAnsi="Times New Roman"/>
                <w:color w:val="222222"/>
                <w:sz w:val="16"/>
              </w:rPr>
              <w:t>105</w:t>
            </w:r>
          </w:p>
        </w:tc>
        <w:tc>
          <w:tcPr>
            <w:tcW w:type="dxa" w:w="623"/>
            <w:tcMar>
              <w:top w:w="70" w:type="dxa"/>
              <w:start w:w="90" w:type="dxa"/>
              <w:bottom w:w="70" w:type="dxa"/>
              <w:end w:w="90" w:type="dxa"/>
            </w:tcMar>
            <w:vAlign w:val="center"/>
          </w:tcPr>
          <w:p>
            <w:pPr>
              <w:spacing w:after="0"/>
            </w:pPr>
            <w:r>
              <w:rPr>
                <w:rFonts w:ascii="Times New Roman" w:hAnsi="Times New Roman"/>
                <w:color w:val="222222"/>
                <w:sz w:val="16"/>
              </w:rPr>
              <w:t>0.735</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1844</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178.5</w:t>
            </w:r>
          </w:p>
        </w:tc>
      </w:tr>
      <w:tr>
        <w:tc>
          <w:tcPr>
            <w:tcW w:type="dxa" w:w="396"/>
            <w:tcMar>
              <w:top w:w="70" w:type="dxa"/>
              <w:start w:w="90" w:type="dxa"/>
              <w:bottom w:w="70" w:type="dxa"/>
              <w:end w:w="90" w:type="dxa"/>
            </w:tcMar>
            <w:vAlign w:val="center"/>
          </w:tcPr>
          <w:p>
            <w:pPr>
              <w:spacing w:after="0"/>
            </w:pPr>
            <w:r>
              <w:rPr>
                <w:rFonts w:ascii="Times New Roman" w:hAnsi="Times New Roman"/>
                <w:color w:val="222222"/>
                <w:sz w:val="16"/>
              </w:rPr>
              <w:t>4</w:t>
            </w:r>
          </w:p>
        </w:tc>
        <w:tc>
          <w:tcPr>
            <w:tcW w:type="dxa" w:w="623"/>
            <w:tcMar>
              <w:top w:w="70" w:type="dxa"/>
              <w:start w:w="90" w:type="dxa"/>
              <w:bottom w:w="70" w:type="dxa"/>
              <w:end w:w="90" w:type="dxa"/>
            </w:tcMar>
            <w:vAlign w:val="center"/>
          </w:tcPr>
          <w:p>
            <w:pPr>
              <w:spacing w:after="0"/>
            </w:pPr>
            <w:r>
              <w:rPr>
                <w:rFonts w:ascii="Times New Roman" w:hAnsi="Times New Roman"/>
                <w:color w:val="222222"/>
                <w:sz w:val="16"/>
              </w:rPr>
              <w:t>151</w:t>
            </w:r>
          </w:p>
        </w:tc>
        <w:tc>
          <w:tcPr>
            <w:tcW w:type="dxa" w:w="623"/>
            <w:tcMar>
              <w:top w:w="70" w:type="dxa"/>
              <w:start w:w="90" w:type="dxa"/>
              <w:bottom w:w="70" w:type="dxa"/>
              <w:end w:w="90" w:type="dxa"/>
            </w:tcMar>
            <w:vAlign w:val="center"/>
          </w:tcPr>
          <w:p>
            <w:pPr>
              <w:spacing w:after="0"/>
            </w:pPr>
            <w:r>
              <w:rPr>
                <w:rFonts w:ascii="Times New Roman" w:hAnsi="Times New Roman"/>
                <w:color w:val="222222"/>
                <w:sz w:val="16"/>
              </w:rPr>
              <w:t>0.728</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1839</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165.9</w:t>
            </w:r>
          </w:p>
        </w:tc>
      </w:tr>
      <w:tr>
        <w:tc>
          <w:tcPr>
            <w:tcW w:type="dxa" w:w="396"/>
            <w:tcMar>
              <w:top w:w="70" w:type="dxa"/>
              <w:start w:w="90" w:type="dxa"/>
              <w:bottom w:w="70" w:type="dxa"/>
              <w:end w:w="90" w:type="dxa"/>
            </w:tcMar>
            <w:vAlign w:val="center"/>
          </w:tcPr>
          <w:p>
            <w:pPr>
              <w:spacing w:after="0"/>
            </w:pPr>
            <w:r>
              <w:rPr>
                <w:rFonts w:ascii="Times New Roman" w:hAnsi="Times New Roman"/>
                <w:color w:val="222222"/>
                <w:sz w:val="16"/>
              </w:rPr>
              <w:t>5</w:t>
            </w:r>
          </w:p>
        </w:tc>
        <w:tc>
          <w:tcPr>
            <w:tcW w:type="dxa" w:w="623"/>
            <w:tcMar>
              <w:top w:w="70" w:type="dxa"/>
              <w:start w:w="90" w:type="dxa"/>
              <w:bottom w:w="70" w:type="dxa"/>
              <w:end w:w="90" w:type="dxa"/>
            </w:tcMar>
            <w:vAlign w:val="center"/>
          </w:tcPr>
          <w:p>
            <w:pPr>
              <w:spacing w:after="0"/>
            </w:pPr>
            <w:r>
              <w:rPr>
                <w:rFonts w:ascii="Times New Roman" w:hAnsi="Times New Roman"/>
                <w:color w:val="222222"/>
                <w:sz w:val="16"/>
              </w:rPr>
              <w:t>106</w:t>
            </w:r>
          </w:p>
        </w:tc>
        <w:tc>
          <w:tcPr>
            <w:tcW w:type="dxa" w:w="623"/>
            <w:tcMar>
              <w:top w:w="70" w:type="dxa"/>
              <w:start w:w="90" w:type="dxa"/>
              <w:bottom w:w="70" w:type="dxa"/>
              <w:end w:w="90" w:type="dxa"/>
            </w:tcMar>
            <w:vAlign w:val="center"/>
          </w:tcPr>
          <w:p>
            <w:pPr>
              <w:spacing w:after="0"/>
            </w:pPr>
            <w:r>
              <w:rPr>
                <w:rFonts w:ascii="Times New Roman" w:hAnsi="Times New Roman"/>
                <w:color w:val="222222"/>
                <w:sz w:val="16"/>
              </w:rPr>
              <w:t>0.665</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1830</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185.7</w:t>
            </w:r>
          </w:p>
        </w:tc>
      </w:tr>
      <w:tr>
        <w:tc>
          <w:tcPr>
            <w:tcW w:type="dxa" w:w="396"/>
            <w:tcMar>
              <w:top w:w="70" w:type="dxa"/>
              <w:start w:w="90" w:type="dxa"/>
              <w:bottom w:w="70" w:type="dxa"/>
              <w:end w:w="90" w:type="dxa"/>
            </w:tcMar>
            <w:vAlign w:val="center"/>
          </w:tcPr>
          <w:p>
            <w:pPr>
              <w:spacing w:after="0"/>
            </w:pPr>
            <w:r>
              <w:rPr>
                <w:rFonts w:ascii="Times New Roman" w:hAnsi="Times New Roman"/>
                <w:color w:val="222222"/>
                <w:sz w:val="16"/>
              </w:rPr>
              <w:t>6</w:t>
            </w:r>
          </w:p>
        </w:tc>
        <w:tc>
          <w:tcPr>
            <w:tcW w:type="dxa" w:w="623"/>
            <w:tcMar>
              <w:top w:w="70" w:type="dxa"/>
              <w:start w:w="90" w:type="dxa"/>
              <w:bottom w:w="70" w:type="dxa"/>
              <w:end w:w="90" w:type="dxa"/>
            </w:tcMar>
            <w:vAlign w:val="center"/>
          </w:tcPr>
          <w:p>
            <w:pPr>
              <w:spacing w:after="0"/>
            </w:pPr>
            <w:r>
              <w:rPr>
                <w:rFonts w:ascii="Times New Roman" w:hAnsi="Times New Roman"/>
                <w:color w:val="222222"/>
                <w:sz w:val="16"/>
              </w:rPr>
              <w:t>273</w:t>
            </w:r>
          </w:p>
        </w:tc>
        <w:tc>
          <w:tcPr>
            <w:tcW w:type="dxa" w:w="623"/>
            <w:tcMar>
              <w:top w:w="70" w:type="dxa"/>
              <w:start w:w="90" w:type="dxa"/>
              <w:bottom w:w="70" w:type="dxa"/>
              <w:end w:w="90" w:type="dxa"/>
            </w:tcMar>
            <w:vAlign w:val="center"/>
          </w:tcPr>
          <w:p>
            <w:pPr>
              <w:spacing w:after="0"/>
            </w:pPr>
            <w:r>
              <w:rPr>
                <w:rFonts w:ascii="Times New Roman" w:hAnsi="Times New Roman"/>
                <w:color w:val="222222"/>
                <w:sz w:val="16"/>
              </w:rPr>
              <w:t>0.661</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1814</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126.7</w:t>
            </w:r>
          </w:p>
        </w:tc>
      </w:tr>
      <w:tr>
        <w:tc>
          <w:tcPr>
            <w:tcW w:type="dxa" w:w="396"/>
            <w:tcMar>
              <w:top w:w="70" w:type="dxa"/>
              <w:start w:w="90" w:type="dxa"/>
              <w:bottom w:w="70" w:type="dxa"/>
              <w:end w:w="90" w:type="dxa"/>
            </w:tcMar>
            <w:vAlign w:val="center"/>
          </w:tcPr>
          <w:p>
            <w:pPr>
              <w:spacing w:after="0"/>
            </w:pPr>
            <w:r>
              <w:rPr>
                <w:rFonts w:ascii="Times New Roman" w:hAnsi="Times New Roman"/>
                <w:color w:val="222222"/>
                <w:sz w:val="16"/>
              </w:rPr>
              <w:t>7</w:t>
            </w:r>
          </w:p>
        </w:tc>
        <w:tc>
          <w:tcPr>
            <w:tcW w:type="dxa" w:w="623"/>
            <w:tcMar>
              <w:top w:w="70" w:type="dxa"/>
              <w:start w:w="90" w:type="dxa"/>
              <w:bottom w:w="70" w:type="dxa"/>
              <w:end w:w="90" w:type="dxa"/>
            </w:tcMar>
            <w:vAlign w:val="center"/>
          </w:tcPr>
          <w:p>
            <w:pPr>
              <w:spacing w:after="0"/>
            </w:pPr>
            <w:r>
              <w:rPr>
                <w:rFonts w:ascii="Times New Roman" w:hAnsi="Times New Roman"/>
                <w:color w:val="222222"/>
                <w:sz w:val="16"/>
              </w:rPr>
              <w:t>277</w:t>
            </w:r>
          </w:p>
        </w:tc>
        <w:tc>
          <w:tcPr>
            <w:tcW w:type="dxa" w:w="623"/>
            <w:tcMar>
              <w:top w:w="70" w:type="dxa"/>
              <w:start w:w="90" w:type="dxa"/>
              <w:bottom w:w="70" w:type="dxa"/>
              <w:end w:w="90" w:type="dxa"/>
            </w:tcMar>
            <w:vAlign w:val="center"/>
          </w:tcPr>
          <w:p>
            <w:pPr>
              <w:spacing w:after="0"/>
            </w:pPr>
            <w:r>
              <w:rPr>
                <w:rFonts w:ascii="Times New Roman" w:hAnsi="Times New Roman"/>
                <w:color w:val="222222"/>
                <w:sz w:val="16"/>
              </w:rPr>
              <w:t>0.653</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1820</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155.5</w:t>
            </w:r>
          </w:p>
        </w:tc>
      </w:tr>
      <w:tr>
        <w:tc>
          <w:tcPr>
            <w:tcW w:type="dxa" w:w="396"/>
            <w:tcMar>
              <w:top w:w="70" w:type="dxa"/>
              <w:start w:w="90" w:type="dxa"/>
              <w:bottom w:w="70" w:type="dxa"/>
              <w:end w:w="90" w:type="dxa"/>
            </w:tcMar>
            <w:vAlign w:val="center"/>
          </w:tcPr>
          <w:p>
            <w:pPr>
              <w:spacing w:after="0"/>
            </w:pPr>
            <w:r>
              <w:rPr>
                <w:rFonts w:ascii="Times New Roman" w:hAnsi="Times New Roman"/>
                <w:color w:val="222222"/>
                <w:sz w:val="16"/>
              </w:rPr>
              <w:t>8</w:t>
            </w:r>
          </w:p>
        </w:tc>
        <w:tc>
          <w:tcPr>
            <w:tcW w:type="dxa" w:w="623"/>
            <w:tcMar>
              <w:top w:w="70" w:type="dxa"/>
              <w:start w:w="90" w:type="dxa"/>
              <w:bottom w:w="70" w:type="dxa"/>
              <w:end w:w="90" w:type="dxa"/>
            </w:tcMar>
            <w:vAlign w:val="center"/>
          </w:tcPr>
          <w:p>
            <w:pPr>
              <w:spacing w:after="0"/>
            </w:pPr>
            <w:r>
              <w:rPr>
                <w:rFonts w:ascii="Times New Roman" w:hAnsi="Times New Roman"/>
                <w:color w:val="222222"/>
                <w:sz w:val="16"/>
              </w:rPr>
              <w:t>278</w:t>
            </w:r>
          </w:p>
        </w:tc>
        <w:tc>
          <w:tcPr>
            <w:tcW w:type="dxa" w:w="623"/>
            <w:tcMar>
              <w:top w:w="70" w:type="dxa"/>
              <w:start w:w="90" w:type="dxa"/>
              <w:bottom w:w="70" w:type="dxa"/>
              <w:end w:w="90" w:type="dxa"/>
            </w:tcMar>
            <w:vAlign w:val="center"/>
          </w:tcPr>
          <w:p>
            <w:pPr>
              <w:spacing w:after="0"/>
            </w:pPr>
            <w:r>
              <w:rPr>
                <w:rFonts w:ascii="Times New Roman" w:hAnsi="Times New Roman"/>
                <w:color w:val="222222"/>
                <w:sz w:val="16"/>
              </w:rPr>
              <w:t>0.644</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1820</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163.2</w:t>
            </w:r>
          </w:p>
        </w:tc>
      </w:tr>
      <w:tr>
        <w:tc>
          <w:tcPr>
            <w:tcW w:type="dxa" w:w="396"/>
            <w:tcMar>
              <w:top w:w="70" w:type="dxa"/>
              <w:start w:w="90" w:type="dxa"/>
              <w:bottom w:w="70" w:type="dxa"/>
              <w:end w:w="90" w:type="dxa"/>
            </w:tcMar>
            <w:vAlign w:val="center"/>
          </w:tcPr>
          <w:p>
            <w:pPr>
              <w:spacing w:after="0"/>
            </w:pPr>
            <w:r>
              <w:rPr>
                <w:rFonts w:ascii="Times New Roman" w:hAnsi="Times New Roman"/>
                <w:color w:val="222222"/>
                <w:sz w:val="16"/>
              </w:rPr>
              <w:t>9</w:t>
            </w:r>
          </w:p>
        </w:tc>
        <w:tc>
          <w:tcPr>
            <w:tcW w:type="dxa" w:w="623"/>
            <w:tcMar>
              <w:top w:w="70" w:type="dxa"/>
              <w:start w:w="90" w:type="dxa"/>
              <w:bottom w:w="70" w:type="dxa"/>
              <w:end w:w="90" w:type="dxa"/>
            </w:tcMar>
            <w:vAlign w:val="center"/>
          </w:tcPr>
          <w:p>
            <w:pPr>
              <w:spacing w:after="0"/>
            </w:pPr>
            <w:r>
              <w:rPr>
                <w:rFonts w:ascii="Times New Roman" w:hAnsi="Times New Roman"/>
                <w:color w:val="222222"/>
                <w:sz w:val="16"/>
              </w:rPr>
              <w:t>147</w:t>
            </w:r>
          </w:p>
        </w:tc>
        <w:tc>
          <w:tcPr>
            <w:tcW w:type="dxa" w:w="623"/>
            <w:tcMar>
              <w:top w:w="70" w:type="dxa"/>
              <w:start w:w="90" w:type="dxa"/>
              <w:bottom w:w="70" w:type="dxa"/>
              <w:end w:w="90" w:type="dxa"/>
            </w:tcMar>
            <w:vAlign w:val="center"/>
          </w:tcPr>
          <w:p>
            <w:pPr>
              <w:spacing w:after="0"/>
            </w:pPr>
            <w:r>
              <w:rPr>
                <w:rFonts w:ascii="Times New Roman" w:hAnsi="Times New Roman"/>
                <w:color w:val="222222"/>
                <w:sz w:val="16"/>
              </w:rPr>
              <w:t>0.632</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1805</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117.6</w:t>
            </w:r>
          </w:p>
        </w:tc>
      </w:tr>
      <w:tr>
        <w:tc>
          <w:tcPr>
            <w:tcW w:type="dxa" w:w="396"/>
            <w:tcMar>
              <w:top w:w="70" w:type="dxa"/>
              <w:start w:w="90" w:type="dxa"/>
              <w:bottom w:w="70" w:type="dxa"/>
              <w:end w:w="90" w:type="dxa"/>
            </w:tcMar>
            <w:vAlign w:val="center"/>
          </w:tcPr>
          <w:p>
            <w:pPr>
              <w:spacing w:after="0"/>
            </w:pPr>
            <w:r>
              <w:rPr>
                <w:rFonts w:ascii="Times New Roman" w:hAnsi="Times New Roman"/>
                <w:color w:val="222222"/>
                <w:sz w:val="16"/>
              </w:rPr>
              <w:t>10</w:t>
            </w:r>
          </w:p>
        </w:tc>
        <w:tc>
          <w:tcPr>
            <w:tcW w:type="dxa" w:w="623"/>
            <w:tcMar>
              <w:top w:w="70" w:type="dxa"/>
              <w:start w:w="90" w:type="dxa"/>
              <w:bottom w:w="70" w:type="dxa"/>
              <w:end w:w="90" w:type="dxa"/>
            </w:tcMar>
            <w:vAlign w:val="center"/>
          </w:tcPr>
          <w:p>
            <w:pPr>
              <w:spacing w:after="0"/>
            </w:pPr>
            <w:r>
              <w:rPr>
                <w:rFonts w:ascii="Times New Roman" w:hAnsi="Times New Roman"/>
                <w:color w:val="222222"/>
                <w:sz w:val="16"/>
              </w:rPr>
              <w:t>346</w:t>
            </w:r>
          </w:p>
        </w:tc>
        <w:tc>
          <w:tcPr>
            <w:tcW w:type="dxa" w:w="623"/>
            <w:tcMar>
              <w:top w:w="70" w:type="dxa"/>
              <w:start w:w="90" w:type="dxa"/>
              <w:bottom w:w="70" w:type="dxa"/>
              <w:end w:w="90" w:type="dxa"/>
            </w:tcMar>
            <w:vAlign w:val="center"/>
          </w:tcPr>
          <w:p>
            <w:pPr>
              <w:spacing w:after="0"/>
            </w:pPr>
            <w:r>
              <w:rPr>
                <w:rFonts w:ascii="Times New Roman" w:hAnsi="Times New Roman"/>
                <w:color w:val="222222"/>
                <w:sz w:val="16"/>
              </w:rPr>
              <w:t>0.618</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1801</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114.0</w:t>
            </w:r>
          </w:p>
        </w:tc>
      </w:tr>
    </w:tbl>
    <w:p>
      <w:pPr>
        <w:spacing w:before="40" w:after="160"/>
        <w:jc w:val="center"/>
        <w:keepLines/>
      </w:pPr>
      <w:r>
        <w:rPr>
          <w:rFonts w:ascii="Times New Roman" w:hAnsi="Times New Roman"/>
          <w:i/>
          <w:color w:val="222222"/>
          <w:sz w:val="20"/>
        </w:rPr>
        <w:t>Tabla 1 Ranking y métricas principales</w:t>
      </w:r>
    </w:p>
    <w:p>
      <w:pPr>
        <w:spacing w:line="240" w:lineRule="auto" w:after="60"/>
        <w:jc w:val="both"/>
      </w:pPr>
      <w:r>
        <w:rPr>
          <w:rFonts w:ascii="Times New Roman" w:hAnsi="Times New Roman"/>
          <w:i w:val="0"/>
          <w:color w:val="222222"/>
          <w:sz w:val="24"/>
        </w:rPr>
        <w:t>Las diez celdas presentaron entre 1800.9 y 1854.0 kWh/m²/año. Las 10 registraron distancia nula a una geometría de línea. El TOP 10 genético compartió 4 celdas con el exhaustivo y no incluyó la mejor alternativa de referencia, la celda 103. El conjunto de pruebas finalizó sin errores.</w:t>
      </w:r>
    </w:p>
    <w:p>
      <w:pPr>
        <w:spacing w:before="100" w:after="40"/>
        <w:jc w:val="center"/>
        <w:keepNext/>
        <w:keepLines/>
      </w:pPr>
      <w:r>
        <w:drawing>
          <wp:inline xmlns:a="http://schemas.openxmlformats.org/drawingml/2006/main" xmlns:pic="http://schemas.openxmlformats.org/drawingml/2006/picture">
            <wp:extent cx="2556000" cy="1278000"/>
            <wp:docPr id="2" name="Picture 2"/>
            <wp:cNvGraphicFramePr>
              <a:graphicFrameLocks noChangeAspect="1"/>
            </wp:cNvGraphicFramePr>
            <a:graphic>
              <a:graphicData uri="http://schemas.openxmlformats.org/drawingml/2006/picture">
                <pic:pic>
                  <pic:nvPicPr>
                    <pic:cNvPr id="0" name="figura_componentes_fitness.png"/>
                    <pic:cNvPicPr/>
                  </pic:nvPicPr>
                  <pic:blipFill>
                    <a:blip r:embed="rId10"/>
                    <a:stretch>
                      <a:fillRect/>
                    </a:stretch>
                  </pic:blipFill>
                  <pic:spPr>
                    <a:xfrm>
                      <a:off x="0" y="0"/>
                      <a:ext cx="2556000" cy="1278000"/>
                    </a:xfrm>
                    <a:prstGeom prst="rect"/>
                  </pic:spPr>
                </pic:pic>
              </a:graphicData>
            </a:graphic>
          </wp:inline>
        </w:drawing>
      </w:r>
    </w:p>
    <w:p>
      <w:pPr>
        <w:spacing w:before="40" w:after="160"/>
        <w:jc w:val="center"/>
        <w:keepLines/>
      </w:pPr>
      <w:r>
        <w:rPr>
          <w:rFonts w:ascii="Times New Roman" w:hAnsi="Times New Roman"/>
          <w:i/>
          <w:color w:val="222222"/>
          <w:sz w:val="20"/>
        </w:rPr>
        <w:t>Figura 2 Aportes ponderados al fitness</w:t>
      </w:r>
    </w:p>
    <w:p>
      <w:pPr>
        <w:spacing w:before="140" w:after="60"/>
        <w:keepNext/>
        <w:keepLines/>
      </w:pPr>
      <w:r>
        <w:rPr>
          <w:rFonts w:ascii="Times New Roman" w:hAnsi="Times New Roman"/>
          <w:b/>
          <w:color w:val="222222"/>
          <w:sz w:val="24"/>
        </w:rPr>
        <w:t>Discusión</w:t>
      </w:r>
    </w:p>
    <w:p>
      <w:pPr>
        <w:spacing w:line="240" w:lineRule="auto" w:after="60"/>
        <w:jc w:val="both"/>
      </w:pPr>
      <w:r>
        <w:rPr>
          <w:rFonts w:ascii="Times New Roman" w:hAnsi="Times New Roman"/>
          <w:i w:val="0"/>
          <w:color w:val="222222"/>
          <w:sz w:val="24"/>
        </w:rPr>
        <w:t>La comparación exhaustiva muestra que la configuración genética no alcanzó el ranking de referencia: solo 4 de sus diez soluciones pertenecen al TOP 10 exhaustivo. La mayor resolución hizo visible una limitación de exploración que debe corregirse antes de interpretar el ranking genético como selección final.</w:t>
      </w:r>
    </w:p>
    <w:p>
      <w:pPr>
        <w:spacing w:line="240" w:lineRule="auto" w:after="60"/>
        <w:jc w:val="both"/>
      </w:pPr>
      <w:r>
        <w:rPr>
          <w:rFonts w:ascii="Times New Roman" w:hAnsi="Times New Roman"/>
          <w:i w:val="0"/>
          <w:color w:val="222222"/>
          <w:sz w:val="24"/>
        </w:rPr>
        <w:t>El primer puesto genético, la celda 104, combina el máximo puntaje solar con distancia nula a líneas, aunque permanece lejos de una estación transformadora. La mejor alternativa exhaustiva fue la celda 103, con fitness 0.7975.</w:t>
      </w:r>
    </w:p>
    <w:p>
      <w:pPr>
        <w:spacing w:line="240" w:lineRule="auto" w:after="60"/>
        <w:jc w:val="both"/>
      </w:pPr>
      <w:r>
        <w:rPr>
          <w:rFonts w:ascii="Times New Roman" w:hAnsi="Times New Roman"/>
          <w:i w:val="0"/>
          <w:color w:val="222222"/>
          <w:sz w:val="24"/>
        </w:rPr>
        <w:t>La codificación también limita la interpretación. El índice de fila es categórico, pero el cruce aritmético supone continuidad. Índices cercanos no necesariamente representan sitios cercanos. Una extensión debería emplear una codificación espacial o un operador categórico, ejecutar múltiples semillas y comparar estabilidad y diversidad.</w:t>
      </w:r>
    </w:p>
    <w:p>
      <w:pPr>
        <w:spacing w:line="240" w:lineRule="auto" w:after="60"/>
        <w:jc w:val="both"/>
      </w:pPr>
      <w:r>
        <w:rPr>
          <w:rFonts w:ascii="Times New Roman" w:hAnsi="Times New Roman"/>
          <w:i w:val="0"/>
          <w:color w:val="222222"/>
          <w:sz w:val="24"/>
        </w:rPr>
        <w:t>La principal amenaza externa sigue siendo la resolución y representación de los datos. Un buffer uniforme alrededor de puntos BAHRA no representa límites urbanos reales. Una celda de 9 km tampoco demuestra que haya 20.000 m² contiguos utilizables. La estimación climática usa cuatro meses representativos y no modela el rendimiento eléctrico de un sistema fotovoltaico. Por estas razones, el ranking solo orienta estudios posteriores.</w:t>
      </w:r>
    </w:p>
    <w:p>
      <w:pPr>
        <w:spacing w:before="140" w:after="60"/>
        <w:keepNext/>
        <w:keepLines/>
      </w:pPr>
      <w:r>
        <w:rPr>
          <w:rFonts w:ascii="Times New Roman" w:hAnsi="Times New Roman"/>
          <w:b/>
          <w:color w:val="222222"/>
          <w:sz w:val="24"/>
        </w:rPr>
        <w:t>Conclusión</w:t>
      </w:r>
    </w:p>
    <w:p>
      <w:pPr>
        <w:spacing w:line="240" w:lineRule="auto" w:after="60"/>
        <w:jc w:val="both"/>
      </w:pPr>
      <w:r>
        <w:rPr>
          <w:rFonts w:ascii="Times New Roman" w:hAnsi="Times New Roman"/>
          <w:i w:val="0"/>
          <w:color w:val="222222"/>
          <w:sz w:val="24"/>
        </w:rPr>
        <w:t>El prototipo integró fuentes oficiales, métricas geoespaciales, persistencia y optimización genética en un proceso reproducible. Identificó 1068 candidatos válidos entre 1788 celdas. La corrida no permite aceptar la hipótesis de recuperación de las mejores alternativas, porque el TOP 10 genético no coincidió con el exhaustivo.</w:t>
      </w:r>
    </w:p>
    <w:p>
      <w:pPr>
        <w:spacing w:line="240" w:lineRule="auto" w:after="60"/>
        <w:jc w:val="both"/>
      </w:pPr>
      <w:r>
        <w:rPr>
          <w:rFonts w:ascii="Times New Roman" w:hAnsi="Times New Roman"/>
          <w:i w:val="0"/>
          <w:color w:val="222222"/>
          <w:sz w:val="24"/>
        </w:rPr>
        <w:t>El resultado no establece viabilidad técnica ni económica. El siguiente avance metodológico debe concentrarse en revisar la representación genética, la exploración, el tamaño poblacional y la estabilidad entre semillas, manteniendo fuera del alcance actual las variables orográficas y de nubosidad.</w:t>
      </w:r>
    </w:p>
    <w:p>
      <w:pPr>
        <w:spacing w:before="140" w:after="60"/>
        <w:keepNext/>
        <w:keepLines/>
      </w:pPr>
      <w:r>
        <w:rPr>
          <w:rFonts w:ascii="Times New Roman" w:hAnsi="Times New Roman"/>
          <w:b/>
          <w:color w:val="222222"/>
          <w:sz w:val="24"/>
        </w:rPr>
        <w:t>Referencias</w:t>
      </w:r>
    </w:p>
    <w:p>
      <w:pPr>
        <w:spacing w:after="40"/>
        <w:ind w:left="198" w:hanging="198"/>
        <w:jc w:val="left"/>
      </w:pPr>
      <w:r>
        <w:rPr>
          <w:rFonts w:ascii="Times New Roman" w:hAnsi="Times New Roman"/>
          <w:color w:val="222222"/>
          <w:sz w:val="17"/>
        </w:rPr>
        <w:t>[1] J. H. Holland, Adaptation in Natural and Artificial Systems. University of Michigan Press, 1975.</w:t>
      </w:r>
    </w:p>
    <w:p>
      <w:pPr>
        <w:spacing w:after="40"/>
        <w:ind w:left="198" w:hanging="198"/>
        <w:jc w:val="left"/>
      </w:pPr>
      <w:r>
        <w:rPr>
          <w:rFonts w:ascii="Times New Roman" w:hAnsi="Times New Roman"/>
          <w:color w:val="222222"/>
          <w:sz w:val="17"/>
        </w:rPr>
        <w:t>[2] D. E. Goldberg, Genetic Algorithms in Search, Optimization and Machine Learning. Addison-Wesley, 1989.</w:t>
      </w:r>
    </w:p>
    <w:p>
      <w:pPr>
        <w:spacing w:after="40"/>
        <w:ind w:left="198" w:hanging="198"/>
        <w:jc w:val="left"/>
      </w:pPr>
      <w:r>
        <w:rPr>
          <w:rFonts w:ascii="Times New Roman" w:hAnsi="Times New Roman"/>
          <w:color w:val="222222"/>
          <w:sz w:val="17"/>
        </w:rPr>
        <w:t>[3] M. Srinivas y L. M. Patnaik, “Genetic algorithms: a survey”, Computer, vol. 27, n.º 6, pp. 17-26, 1994. https://doi.org/10.1109/2.294849</w:t>
      </w:r>
    </w:p>
    <w:p>
      <w:pPr>
        <w:spacing w:after="40"/>
        <w:ind w:left="198" w:hanging="198"/>
        <w:jc w:val="left"/>
      </w:pPr>
      <w:r>
        <w:rPr>
          <w:rFonts w:ascii="Times New Roman" w:hAnsi="Times New Roman"/>
          <w:color w:val="222222"/>
          <w:sz w:val="17"/>
        </w:rPr>
        <w:t>[4] J. Malczewski, “GIS-based multicriteria decision analysis: a survey of the literature”, International Journal of Geographical Information Science, vol. 20, n.º 7, pp. 703-726, 2006. https://doi.org/10.1080/13658810600661508</w:t>
      </w:r>
    </w:p>
    <w:p>
      <w:pPr>
        <w:spacing w:after="40"/>
        <w:ind w:left="198" w:hanging="198"/>
        <w:jc w:val="left"/>
      </w:pPr>
      <w:r>
        <w:rPr>
          <w:rFonts w:ascii="Times New Roman" w:hAnsi="Times New Roman"/>
          <w:color w:val="222222"/>
          <w:sz w:val="17"/>
        </w:rPr>
        <w:t>[5] M. Uyan, “GIS-based solar farms site selection using analytic hierarchy process in Karapinar region”, Renewable and Sustainable Energy Reviews, vol. 28, pp. 11-17, 2013. https://doi.org/10.1016/j.rser.2013.07.042</w:t>
      </w:r>
    </w:p>
    <w:p>
      <w:pPr>
        <w:spacing w:after="40"/>
        <w:ind w:left="198" w:hanging="198"/>
        <w:jc w:val="left"/>
      </w:pPr>
      <w:r>
        <w:rPr>
          <w:rFonts w:ascii="Times New Roman" w:hAnsi="Times New Roman"/>
          <w:color w:val="222222"/>
          <w:sz w:val="17"/>
        </w:rPr>
        <w:t>[6] H. Z. Al Garni y A. Awasthi, “Solar PV power plant site selection using a GIS-AHP based approach with application in Saudi Arabia”, Applied Energy, vol. 206, pp. 1225-1240, 2017. https://doi.org/10.1016/j.apenergy.2017.10.024</w:t>
      </w:r>
    </w:p>
    <w:p>
      <w:pPr>
        <w:spacing w:after="40"/>
        <w:ind w:left="198" w:hanging="198"/>
        <w:jc w:val="left"/>
      </w:pPr>
      <w:r>
        <w:rPr>
          <w:rFonts w:ascii="Times New Roman" w:hAnsi="Times New Roman"/>
          <w:color w:val="222222"/>
          <w:sz w:val="17"/>
        </w:rPr>
        <w:t>[7] J. Muñoz-Sabater et al., “ERA5-Land: a state-of-the-art global reanalysis dataset for land applications”, Earth System Science Data, vol. 13, pp. 4349-4383, 2021. https://doi.org/10.5194/essd-13-4349-2021</w:t>
      </w:r>
    </w:p>
    <w:p>
      <w:pPr>
        <w:spacing w:after="40"/>
        <w:ind w:left="198" w:hanging="198"/>
        <w:jc w:val="left"/>
      </w:pPr>
      <w:r>
        <w:rPr>
          <w:rFonts w:ascii="Times New Roman" w:hAnsi="Times New Roman"/>
          <w:color w:val="222222"/>
          <w:sz w:val="17"/>
        </w:rPr>
        <w:t>[8] Copernicus Climate Change Service y ECMWF, ERA5-Land hourly Analysis Ready Cloud Optimised data on single levels from 1950 to present Product User Guide, 2026. https://confluence.ecmwf.int/spaces/CKB/pages/536218894/</w:t>
      </w:r>
    </w:p>
    <w:p>
      <w:pPr>
        <w:spacing w:after="40"/>
        <w:ind w:left="198" w:hanging="198"/>
        <w:jc w:val="left"/>
      </w:pPr>
      <w:r>
        <w:rPr>
          <w:rFonts w:ascii="Times New Roman" w:hAnsi="Times New Roman"/>
          <w:color w:val="222222"/>
          <w:sz w:val="17"/>
        </w:rPr>
        <w:t>[9] Instituto Geográfico Nacional, Unidades Territoriales. Datos Argentina. https://datos.gob.ar/ar/dataset/ign-unidades-territoriales</w:t>
      </w:r>
    </w:p>
    <w:p>
      <w:pPr>
        <w:spacing w:after="40"/>
        <w:ind w:left="198" w:hanging="198"/>
        <w:jc w:val="left"/>
      </w:pPr>
      <w:r>
        <w:rPr>
          <w:rFonts w:ascii="Times New Roman" w:hAnsi="Times New Roman"/>
          <w:color w:val="222222"/>
          <w:sz w:val="17"/>
        </w:rPr>
        <w:t>[10] Jefatura de Gabinete de Ministros, Localidades BAHRA. Datos Argentina. https://datos.gob.ar/dataset/jgm-servicio-normalizacion-datos-geograficos/archivo/jgm_8.21</w:t>
      </w:r>
    </w:p>
    <w:p>
      <w:pPr>
        <w:spacing w:after="40"/>
        <w:ind w:left="198" w:hanging="198"/>
        <w:jc w:val="left"/>
      </w:pPr>
      <w:r>
        <w:rPr>
          <w:rFonts w:ascii="Times New Roman" w:hAnsi="Times New Roman"/>
          <w:color w:val="222222"/>
          <w:sz w:val="17"/>
        </w:rPr>
        <w:t>[11] Secretaría de Energía, Redes de distribución eléctrica. Datos Argentina. https://datos.gob.ar/dataset/energia-redes-distribucion-electrica</w:t>
      </w:r>
    </w:p>
    <w:p>
      <w:pPr>
        <w:spacing w:after="40"/>
        <w:ind w:left="198" w:hanging="198"/>
        <w:jc w:val="left"/>
      </w:pPr>
      <w:r>
        <w:rPr>
          <w:rFonts w:ascii="Times New Roman" w:hAnsi="Times New Roman"/>
          <w:color w:val="222222"/>
          <w:sz w:val="17"/>
        </w:rPr>
        <w:t>[12] Secretaría de Energía, Transporte Eléctrico AT Estaciones Transformadoras. Datos Argentina. https://www.datos.gob.ar/dataset/energia-transporte-electrico-at-estaciones-transformadoras</w:t>
      </w:r>
    </w:p>
    <w:p>
      <w:pPr>
        <w:spacing w:after="40"/>
        <w:ind w:left="198" w:hanging="198"/>
        <w:jc w:val="left"/>
      </w:pPr>
      <w:r>
        <w:rPr>
          <w:rFonts w:ascii="Times New Roman" w:hAnsi="Times New Roman"/>
          <w:color w:val="222222"/>
          <w:sz w:val="17"/>
        </w:rPr>
        <w:t>[13] OpenStreetMap contributors, Copyright and License. https://www.openstreetmap.org/copyright</w:t>
      </w:r>
    </w:p>
    <w:p>
      <w:pPr>
        <w:spacing w:before="140" w:after="60"/>
        <w:keepNext/>
        <w:keepLines/>
      </w:pPr>
      <w:r>
        <w:rPr>
          <w:rFonts w:ascii="Times New Roman" w:hAnsi="Times New Roman"/>
          <w:b/>
          <w:color w:val="222222"/>
          <w:sz w:val="24"/>
        </w:rPr>
        <w:t>Datos de contacto</w:t>
      </w:r>
    </w:p>
    <w:p>
      <w:pPr>
        <w:spacing w:line="240" w:lineRule="auto" w:after="60"/>
        <w:jc w:val="both"/>
      </w:pPr>
      <w:r>
        <w:rPr>
          <w:rFonts w:ascii="Times New Roman" w:hAnsi="Times New Roman"/>
          <w:i/>
          <w:color w:val="222222"/>
          <w:sz w:val="20"/>
        </w:rPr>
        <w:t>Universidad Tecnológica Nacional Facultad Regional Buenos Aires</w:t>
      </w:r>
    </w:p>
    <w:sectPr w:rsidR="00FC693F" w:rsidRPr="0006063C" w:rsidSect="00034616">
      <w:type w:val="continuous"/>
      <w:pgSz w:w="11906" w:h="16838"/>
      <w:pgMar w:top="1417" w:right="1417" w:bottom="1417" w:left="1417" w:header="720" w:footer="720" w:gutter="0"/>
      <w:cols w:space="56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60"/>
      <w:jc w:val="both"/>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Times New Roman" w:hAnsi="Times New Roman"/>
      <w:b/>
      <w:bCs/>
      <w:color w:val="222222"/>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color w:val="222222"/>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Times New Roman" w:hAnsi="Times New Roman"/>
      <w:b/>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20" w:line="240" w:lineRule="auto" w:before="0"/>
      <w:contextualSpacing/>
    </w:pPr>
    <w:rPr>
      <w:rFonts w:asciiTheme="majorHAnsi" w:eastAsiaTheme="majorEastAsia" w:hAnsiTheme="majorHAnsi" w:cstheme="majorBidi" w:ascii="Times New Roman" w:hAnsi="Times New Roman"/>
      <w:b/>
      <w:color w:val="22222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Optimización de ubicaciones de parques solares mediante algoritmos genéticos</dc:title>
  <dc:subject>Artículo de cátedra</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